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4A4A5F">
      <w:pPr>
        <w:spacing w:before="120"/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</w:rPr>
      </w:pPr>
    </w:p>
    <w:p w:rsidR="00A7432B" w:rsidRPr="00A7432B" w:rsidRDefault="00A7432B" w:rsidP="00DE6A4F">
      <w:pPr>
        <w:jc w:val="center"/>
        <w:rPr>
          <w:b/>
          <w:sz w:val="24"/>
          <w:szCs w:val="24"/>
        </w:rPr>
      </w:pPr>
    </w:p>
    <w:p w:rsidR="00DE6A4F" w:rsidRPr="006C5056" w:rsidRDefault="00DE6A4F" w:rsidP="00DE6A4F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број </w:t>
      </w:r>
      <w:r>
        <w:rPr>
          <w:sz w:val="24"/>
          <w:szCs w:val="24"/>
          <w:lang w:val="sr-Cyrl-CS"/>
        </w:rPr>
        <w:t>1</w:t>
      </w:r>
    </w:p>
    <w:p w:rsidR="00DE6A4F" w:rsidRPr="00A06B01" w:rsidRDefault="00DE6A4F" w:rsidP="004A4A5F">
      <w:pPr>
        <w:spacing w:before="120"/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D67319" w:rsidRPr="00D67319">
        <w:rPr>
          <w:b/>
          <w:sz w:val="28"/>
          <w:szCs w:val="28"/>
          <w:lang w:val="sr-Cyrl-CS"/>
        </w:rPr>
        <w:t xml:space="preserve"> </w:t>
      </w:r>
      <w:r w:rsidR="00D67319">
        <w:rPr>
          <w:b/>
          <w:sz w:val="28"/>
          <w:szCs w:val="28"/>
          <w:lang w:val="sr-Cyrl-CS"/>
        </w:rPr>
        <w:t>УВОДНА РАЗМАТРАЊА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E6A4F" w:rsidRPr="00501FDC" w:rsidTr="00CB046F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CB046F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67319" w:rsidRPr="00D7079D" w:rsidTr="00CB046F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19" w:rsidRPr="00945B72" w:rsidRDefault="00D67319" w:rsidP="00CB046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19" w:rsidRPr="00DB1605" w:rsidRDefault="00D67319" w:rsidP="005F41EB">
            <w:pPr>
              <w:jc w:val="left"/>
              <w:rPr>
                <w:rFonts w:cs="Arial"/>
                <w:lang w:val="sr-Latn-CS"/>
              </w:rPr>
            </w:pPr>
            <w:r w:rsidRPr="00F57034">
              <w:rPr>
                <w:rFonts w:cs="Arial"/>
                <w:lang w:val="sr-Latn-CS"/>
              </w:rPr>
              <w:t>Уводна разматрања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19" w:rsidRPr="00FB6B0F" w:rsidRDefault="003C19CC" w:rsidP="003C19CC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FB6B0F">
              <w:rPr>
                <w:rFonts w:cs="Arial"/>
              </w:rPr>
              <w:t>Концепт здравља</w:t>
            </w:r>
            <w:r>
              <w:rPr>
                <w:rFonts w:cs="Arial"/>
              </w:rPr>
              <w:t xml:space="preserve">. </w:t>
            </w:r>
            <w:r w:rsidRPr="00FB6B0F">
              <w:rPr>
                <w:rFonts w:cs="Arial"/>
              </w:rPr>
              <w:t>Историја планирања здравственог програма</w:t>
            </w:r>
            <w:r>
              <w:rPr>
                <w:rFonts w:cs="Arial"/>
              </w:rPr>
              <w:t xml:space="preserve">. </w:t>
            </w:r>
            <w:r w:rsidRPr="00FB6B0F">
              <w:rPr>
                <w:rFonts w:cs="Arial"/>
              </w:rPr>
              <w:t>Евалуација као професија</w:t>
            </w:r>
            <w:r>
              <w:rPr>
                <w:rFonts w:cs="Arial"/>
              </w:rPr>
              <w:t xml:space="preserve">. </w:t>
            </w:r>
            <w:r w:rsidRPr="00FB6B0F">
              <w:rPr>
                <w:rFonts w:cs="Arial"/>
              </w:rPr>
              <w:t>Ко планира и вреднује?</w:t>
            </w:r>
            <w:r>
              <w:rPr>
                <w:rFonts w:cs="Arial"/>
              </w:rPr>
              <w:t xml:space="preserve"> </w:t>
            </w:r>
            <w:r w:rsidRPr="00FB6B0F">
              <w:rPr>
                <w:rFonts w:cs="Arial"/>
              </w:rPr>
              <w:t>Улоге евалуатора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319" w:rsidRPr="00FB6B0F" w:rsidRDefault="003C19CC" w:rsidP="00FB6B0F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основним концептима и појмовима и историјски преглед.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Default="005929C4" w:rsidP="003D0E65">
      <w:pPr>
        <w:jc w:val="center"/>
        <w:rPr>
          <w:b/>
          <w:sz w:val="24"/>
          <w:szCs w:val="24"/>
        </w:rPr>
      </w:pPr>
    </w:p>
    <w:p w:rsidR="005929C4" w:rsidRPr="005929C4" w:rsidRDefault="005929C4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929C4">
      <w:pPr>
        <w:spacing w:before="120"/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FE0C15" w:rsidRPr="00FE0C15" w:rsidRDefault="00DF14DA" w:rsidP="003D0E65">
      <w:r>
        <w:br w:type="page"/>
      </w: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4A4A5F" w:rsidRDefault="004A4A5F" w:rsidP="001C1BB4">
      <w:pPr>
        <w:jc w:val="center"/>
        <w:rPr>
          <w:b/>
          <w:sz w:val="24"/>
          <w:szCs w:val="24"/>
        </w:rPr>
      </w:pPr>
    </w:p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DF14DA" w:rsidRDefault="001F59FF" w:rsidP="00DF14DA">
      <w:pPr>
        <w:pStyle w:val="TOC1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7192479" w:history="1">
        <w:r w:rsidR="00DF14DA" w:rsidRPr="003D4CB1">
          <w:rPr>
            <w:rStyle w:val="Hyperlink"/>
            <w:noProof/>
          </w:rPr>
          <w:t>УВОДНА РАЗМАТРАЊА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0" w:history="1">
        <w:r w:rsidR="00DF14DA" w:rsidRPr="003D4CB1">
          <w:rPr>
            <w:rStyle w:val="Hyperlink"/>
            <w:noProof/>
            <w:lang w:val="sr-Latn-CS"/>
          </w:rPr>
          <w:t>И</w:t>
        </w:r>
        <w:r w:rsidR="00DF14DA" w:rsidRPr="003D4CB1">
          <w:rPr>
            <w:rStyle w:val="Hyperlink"/>
            <w:noProof/>
          </w:rPr>
          <w:t>сторија и контекст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1" w:history="1">
        <w:r w:rsidR="00DF14DA" w:rsidRPr="003D4CB1">
          <w:rPr>
            <w:rStyle w:val="Hyperlink"/>
            <w:noProof/>
            <w:lang w:val="sr-Cyrl-CS"/>
          </w:rPr>
          <w:t>Концепт здравља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2" w:history="1">
        <w:r w:rsidR="00DF14DA" w:rsidRPr="003D4CB1">
          <w:rPr>
            <w:rStyle w:val="Hyperlink"/>
            <w:noProof/>
          </w:rPr>
          <w:t>Историја планирања здравственог програма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2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3" w:history="1">
        <w:r w:rsidR="00DF14DA" w:rsidRPr="003D4CB1">
          <w:rPr>
            <w:rStyle w:val="Hyperlink"/>
            <w:noProof/>
          </w:rPr>
          <w:t>Евалуација као професија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4" w:history="1">
        <w:r w:rsidR="00DF14DA" w:rsidRPr="003D4CB1">
          <w:rPr>
            <w:rStyle w:val="Hyperlink"/>
            <w:noProof/>
          </w:rPr>
          <w:t>Ко планира и вреднује?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F14DA" w:rsidRDefault="001F59FF" w:rsidP="00DF14DA">
      <w:pPr>
        <w:pStyle w:val="TOC3"/>
        <w:tabs>
          <w:tab w:val="right" w:leader="dot" w:pos="9061"/>
        </w:tabs>
        <w:spacing w:before="120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7192485" w:history="1">
        <w:r w:rsidR="00DF14DA" w:rsidRPr="003D4CB1">
          <w:rPr>
            <w:rStyle w:val="Hyperlink"/>
            <w:noProof/>
          </w:rPr>
          <w:t>Улоге евалуатора</w:t>
        </w:r>
        <w:r w:rsidR="00DF14D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F14DA">
          <w:rPr>
            <w:noProof/>
            <w:webHidden/>
          </w:rPr>
          <w:instrText xml:space="preserve"> PAGEREF _Toc7192485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F14D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C1BB4" w:rsidRDefault="001F59FF" w:rsidP="003D0E65">
      <w:r>
        <w:fldChar w:fldCharType="end"/>
      </w:r>
    </w:p>
    <w:p w:rsidR="003D0E65" w:rsidRDefault="003D0E65" w:rsidP="003D0E65"/>
    <w:p w:rsidR="001C1BB4" w:rsidRDefault="001C1BB4">
      <w:pPr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BA7A03" w:rsidRDefault="001C1BB4" w:rsidP="001C1BB4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 xml:space="preserve">Предавање бр.  </w:t>
      </w:r>
      <w:r>
        <w:rPr>
          <w:sz w:val="24"/>
          <w:szCs w:val="24"/>
          <w:lang w:val="sr-Cyrl-CS"/>
        </w:rPr>
        <w:t>1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="00E756CB">
        <w:rPr>
          <w:rFonts w:cs="Arial"/>
          <w:b/>
        </w:rPr>
        <w:t xml:space="preserve"> </w:t>
      </w:r>
      <w:r w:rsidR="00C411BD">
        <w:rPr>
          <w:rFonts w:cs="Arial"/>
          <w:b/>
        </w:rPr>
        <w:t>КОНТЕКСТ РАЗВОЈА И ЕВАЛУА</w:t>
      </w:r>
      <w:r w:rsidR="000F4AFB" w:rsidRPr="00E756CB">
        <w:rPr>
          <w:rFonts w:cs="Arial"/>
          <w:b/>
        </w:rPr>
        <w:t>ЦИЈЕ ЗДРАВСТВЕНОГ ПРОГРАМА</w:t>
      </w:r>
      <w:r w:rsidRPr="00B55BD9">
        <w:t xml:space="preserve"> </w:t>
      </w:r>
      <w:r>
        <w:rPr>
          <w:b/>
        </w:rPr>
        <w:t>&gt;</w:t>
      </w:r>
    </w:p>
    <w:p w:rsidR="001C1BB4" w:rsidRDefault="001C1BB4" w:rsidP="003D0E65"/>
    <w:p w:rsidR="009D5425" w:rsidRPr="00C411BD" w:rsidRDefault="00E756CB" w:rsidP="009D5425">
      <w:pPr>
        <w:pStyle w:val="Heading1"/>
        <w:jc w:val="left"/>
        <w:rPr>
          <w:lang/>
        </w:rPr>
      </w:pPr>
      <w:bookmarkStart w:id="0" w:name="_Toc529118836"/>
      <w:bookmarkStart w:id="1" w:name="_Toc7192479"/>
      <w:r w:rsidRPr="008E30BD">
        <w:t>УВОД</w:t>
      </w:r>
      <w:r>
        <w:t>НА РАЗМАТРАЊА</w:t>
      </w:r>
      <w:bookmarkEnd w:id="0"/>
      <w:bookmarkEnd w:id="1"/>
    </w:p>
    <w:p w:rsidR="009D5425" w:rsidRPr="001B5D10" w:rsidRDefault="009D5425" w:rsidP="00310E02">
      <w:proofErr w:type="gramStart"/>
      <w:r w:rsidRPr="001B5D10">
        <w:t>Здравље не представља стање постојања које се може лако постићи кроз изоловане, не</w:t>
      </w:r>
      <w:r w:rsidR="00C411BD">
        <w:t>информисане и индивидуалне</w:t>
      </w:r>
      <w:r w:rsidRPr="001B5D10">
        <w:t xml:space="preserve"> акције.</w:t>
      </w:r>
      <w:proofErr w:type="gramEnd"/>
      <w:r w:rsidRPr="001B5D10">
        <w:t xml:space="preserve"> </w:t>
      </w:r>
      <w:proofErr w:type="gramStart"/>
      <w:r w:rsidRPr="001B5D10">
        <w:t>Здравље појединца, породица и популације је стање у којем су физичко, ментално и социјално благостање интегрисани тако да је могуће оптимално функционисање.</w:t>
      </w:r>
      <w:proofErr w:type="gramEnd"/>
      <w:r w:rsidRPr="001B5D10">
        <w:t xml:space="preserve"> </w:t>
      </w:r>
      <w:proofErr w:type="gramStart"/>
      <w:r w:rsidRPr="001B5D10">
        <w:t>Из ове перспективе, постизање и одржавање здравља кроз животни век је сложен, компликован и замршен посао.</w:t>
      </w:r>
      <w:proofErr w:type="gramEnd"/>
      <w:r w:rsidRPr="001B5D10">
        <w:t xml:space="preserve"> </w:t>
      </w:r>
      <w:proofErr w:type="gramStart"/>
      <w:r w:rsidRPr="001B5D10">
        <w:t>За неке је здравље присутно без обзира на посебне напоре или намере, док за већину нас, здравље захтева, у најмању руку, одређени ниво пажње и специфичне информације.</w:t>
      </w:r>
      <w:proofErr w:type="gramEnd"/>
      <w:r w:rsidRPr="001B5D10">
        <w:t xml:space="preserve"> </w:t>
      </w:r>
      <w:r w:rsidR="00C411BD">
        <w:rPr>
          <w:lang/>
        </w:rPr>
        <w:t>Пажња се усмерава у</w:t>
      </w:r>
      <w:r w:rsidRPr="001B5D10">
        <w:t>право кроз здравствене пр</w:t>
      </w:r>
      <w:r w:rsidR="00C411BD">
        <w:t>ограме</w:t>
      </w:r>
      <w:r w:rsidR="00E909C1">
        <w:t>,</w:t>
      </w:r>
      <w:r w:rsidR="00E909C1">
        <w:rPr>
          <w:lang/>
        </w:rPr>
        <w:t xml:space="preserve"> чиме се обезбеђују </w:t>
      </w:r>
      <w:r w:rsidR="00E909C1">
        <w:t>информације</w:t>
      </w:r>
      <w:r w:rsidRPr="001B5D10">
        <w:t>, али то не гарантује да се пажња и информације примењују кроз радње или понашање које су потребне</w:t>
      </w:r>
      <w:r w:rsidR="00E909C1">
        <w:rPr>
          <w:lang/>
        </w:rPr>
        <w:t xml:space="preserve"> и довољне</w:t>
      </w:r>
      <w:r w:rsidRPr="001B5D10">
        <w:t xml:space="preserve"> за постизање здравља. </w:t>
      </w:r>
      <w:proofErr w:type="gramStart"/>
      <w:r w:rsidRPr="001B5D10">
        <w:t>Према томе, они који пружају здравствене програме, колико год били велики или мали, морају разумети не само процесе којима они којима је потребна пажња и информације могу добити оно што је потребно, већ и процесе учења из њихових искустава у пружању здравственог програма.</w:t>
      </w:r>
      <w:proofErr w:type="gramEnd"/>
    </w:p>
    <w:p w:rsidR="009D5425" w:rsidRPr="001B5D10" w:rsidRDefault="009D5425" w:rsidP="009D5425">
      <w:pPr>
        <w:ind w:firstLine="720"/>
      </w:pPr>
      <w:r w:rsidRPr="001B5D10">
        <w:t>Управо су п</w:t>
      </w:r>
      <w:r w:rsidRPr="001B5D10">
        <w:rPr>
          <w:lang w:val="sr-Latn-CS"/>
        </w:rPr>
        <w:t xml:space="preserve">роцеси и ефекти планирања и евалуације здравствених </w:t>
      </w:r>
      <w:proofErr w:type="gramStart"/>
      <w:r w:rsidRPr="001B5D10">
        <w:rPr>
          <w:lang w:val="sr-Latn-CS"/>
        </w:rPr>
        <w:t>програма  предмет</w:t>
      </w:r>
      <w:proofErr w:type="gramEnd"/>
      <w:r w:rsidRPr="001B5D10">
        <w:rPr>
          <w:lang w:val="sr-Latn-CS"/>
        </w:rPr>
        <w:t xml:space="preserve"> овог </w:t>
      </w:r>
      <w:r w:rsidRPr="001B5D10">
        <w:t>поглавља</w:t>
      </w:r>
      <w:r w:rsidR="00E909C1">
        <w:rPr>
          <w:lang w:val="sr-Latn-CS"/>
        </w:rPr>
        <w:t>. Дискусија почиње</w:t>
      </w:r>
      <w:r w:rsidR="00E909C1">
        <w:rPr>
          <w:lang/>
        </w:rPr>
        <w:t xml:space="preserve"> </w:t>
      </w:r>
      <w:r w:rsidRPr="001B5D10">
        <w:rPr>
          <w:lang w:val="sr-Latn-CS"/>
        </w:rPr>
        <w:t>кратким прегледом историјског контекста</w:t>
      </w:r>
      <w:r w:rsidRPr="001B5D10">
        <w:t>, а</w:t>
      </w:r>
      <w:r w:rsidRPr="001B5D10">
        <w:rPr>
          <w:lang w:val="sr-Latn-CS"/>
        </w:rPr>
        <w:t xml:space="preserve"> позадина поставља основу за процену све већег броја публикација на тему планирања и евалуације здравствених програма које су се појавиле</w:t>
      </w:r>
      <w:r w:rsidRPr="001B5D10">
        <w:t xml:space="preserve"> </w:t>
      </w:r>
      <w:r w:rsidRPr="001B5D10">
        <w:rPr>
          <w:lang w:val="sr-Latn-CS"/>
        </w:rPr>
        <w:t>пос</w:t>
      </w:r>
      <w:r w:rsidRPr="001B5D10">
        <w:t>л</w:t>
      </w:r>
      <w:r w:rsidRPr="001B5D10">
        <w:rPr>
          <w:lang w:val="sr-Latn-CS"/>
        </w:rPr>
        <w:t>едњих година, и за признавање професионализације евалуатора. Употреба термина „процеси“ за описивање активности укључених у планирање и евалуацију здравствених програма има за циљ да означи акцију, циклусе и отвореност. Ово поглавље</w:t>
      </w:r>
      <w:r w:rsidRPr="001B5D10">
        <w:t xml:space="preserve"> </w:t>
      </w:r>
      <w:r w:rsidRPr="001B5D10">
        <w:rPr>
          <w:lang w:val="sr-Latn-CS"/>
        </w:rPr>
        <w:t>уводи циклус планирања и евалуације, а интеракције и и</w:t>
      </w:r>
      <w:r w:rsidR="00E909C1">
        <w:rPr>
          <w:lang/>
        </w:rPr>
        <w:t>н</w:t>
      </w:r>
      <w:r w:rsidR="00E909C1">
        <w:rPr>
          <w:lang w:val="sr-Latn-CS"/>
        </w:rPr>
        <w:t>т</w:t>
      </w:r>
      <w:r w:rsidR="00E909C1">
        <w:rPr>
          <w:lang/>
        </w:rPr>
        <w:t>ера</w:t>
      </w:r>
      <w:r w:rsidRPr="001B5D10">
        <w:rPr>
          <w:lang w:val="sr-Latn-CS"/>
        </w:rPr>
        <w:t>тивна природа овог циклуса су наглашене кроз текст. Пошто је здравље индивидуални, агрегатни и популациони феномен, здравствени програми морају бити концептуализовани на тим нивоима. Пирамида јавног здравља, уведена у овом поглављу, користи се у целом тексту као средство за концептуализацију и актуализацију здравствених програма за појединце, агрегате и популације.</w:t>
      </w:r>
    </w:p>
    <w:p w:rsidR="009D5425" w:rsidRPr="001B5D10" w:rsidRDefault="009D5425" w:rsidP="009D5425">
      <w:pPr>
        <w:ind w:firstLine="720"/>
      </w:pPr>
    </w:p>
    <w:p w:rsidR="009D5425" w:rsidRPr="001B5D10" w:rsidRDefault="009D5425" w:rsidP="009D5425">
      <w:pPr>
        <w:pStyle w:val="Heading2"/>
        <w:rPr>
          <w:sz w:val="20"/>
          <w:szCs w:val="20"/>
        </w:rPr>
      </w:pPr>
      <w:bookmarkStart w:id="2" w:name="_Toc535961270"/>
      <w:bookmarkStart w:id="3" w:name="_Toc4073243"/>
      <w:bookmarkStart w:id="4" w:name="_Toc7192480"/>
      <w:r w:rsidRPr="001B5D10">
        <w:rPr>
          <w:sz w:val="20"/>
          <w:szCs w:val="20"/>
          <w:lang w:val="sr-Latn-CS"/>
        </w:rPr>
        <w:t>И</w:t>
      </w:r>
      <w:r w:rsidRPr="001B5D10">
        <w:rPr>
          <w:sz w:val="20"/>
          <w:szCs w:val="20"/>
        </w:rPr>
        <w:t>сторија и контекст</w:t>
      </w:r>
      <w:bookmarkEnd w:id="2"/>
      <w:bookmarkEnd w:id="3"/>
      <w:bookmarkEnd w:id="4"/>
    </w:p>
    <w:p w:rsidR="009D5425" w:rsidRPr="001B5D10" w:rsidRDefault="009D5425" w:rsidP="00310E02">
      <w:pPr>
        <w:rPr>
          <w:lang w:val="sr-Cyrl-CS"/>
        </w:rPr>
      </w:pPr>
      <w:r w:rsidRPr="001B5D10">
        <w:rPr>
          <w:lang w:val="sr-Cyrl-CS"/>
        </w:rPr>
        <w:t>Одговарајућа полазна тачка за овај текст је промишљање и разумевање онога шта је „здравље“, уз основно поштовање генезе области планирања и евалуације здравствених програма. Основа у овим елементима је кључна за постизање професионалне оцене.</w:t>
      </w:r>
    </w:p>
    <w:p w:rsidR="009D5425" w:rsidRPr="001B5D10" w:rsidRDefault="009D5425" w:rsidP="009D5425">
      <w:pPr>
        <w:pStyle w:val="Heading3"/>
        <w:rPr>
          <w:sz w:val="20"/>
          <w:szCs w:val="20"/>
          <w:lang w:val="sr-Cyrl-CS"/>
        </w:rPr>
      </w:pPr>
      <w:bookmarkStart w:id="5" w:name="_Toc535961271"/>
      <w:bookmarkStart w:id="6" w:name="_Toc4073244"/>
      <w:bookmarkStart w:id="7" w:name="_Toc7192481"/>
      <w:r w:rsidRPr="001B5D10">
        <w:rPr>
          <w:sz w:val="20"/>
          <w:szCs w:val="20"/>
          <w:lang w:val="sr-Cyrl-CS"/>
        </w:rPr>
        <w:t>Концепт здравља</w:t>
      </w:r>
      <w:bookmarkEnd w:id="5"/>
      <w:bookmarkEnd w:id="6"/>
      <w:bookmarkEnd w:id="7"/>
    </w:p>
    <w:p w:rsidR="009D5425" w:rsidRPr="001B5D10" w:rsidRDefault="009D5425" w:rsidP="00310E02">
      <w:proofErr w:type="gramStart"/>
      <w:r w:rsidRPr="001B5D10">
        <w:t>Од кључног је значаја започети циклус планирања и евалуације здравственог програма тако што ћемо прво размислити о значењу здравља.</w:t>
      </w:r>
      <w:proofErr w:type="gramEnd"/>
      <w:r w:rsidRPr="001B5D10">
        <w:t xml:space="preserve"> </w:t>
      </w:r>
      <w:proofErr w:type="gramStart"/>
      <w:r w:rsidRPr="001B5D10">
        <w:t>И експлицитна, и имплицитна значења здравља могу драматично утицати на оно што се сматра здравственим проблемом и наредним правцем програма.</w:t>
      </w:r>
      <w:proofErr w:type="gramEnd"/>
      <w:r w:rsidRPr="001B5D10">
        <w:t xml:space="preserve"> </w:t>
      </w:r>
      <w:proofErr w:type="gramStart"/>
      <w:r w:rsidRPr="001B5D10">
        <w:t>Најшире прихваћена дефиниција здравља је она коју излаже Светска здравствена организација (СЗО), која је по први пут дефинисала здравље као више од одсуства болести, али и присуства благостања (СЗO, 1947).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Од објављивања дефиниције СЗО, здравље је почело да се посматра од стране здравствених професија као холистички концепт који обухвата присуство физичких, менталних, развојних, социјалних и финансијских могућности, средстава и равнотеже.</w:t>
      </w:r>
      <w:proofErr w:type="gramEnd"/>
      <w:r w:rsidRPr="001B5D10">
        <w:t xml:space="preserve"> </w:t>
      </w:r>
      <w:proofErr w:type="gramStart"/>
      <w:r w:rsidRPr="001B5D10">
        <w:t>Ова идеја не искључује могућност да свака здравствена професија има одређени аспект здравља којем доприноси.</w:t>
      </w:r>
      <w:proofErr w:type="gramEnd"/>
      <w:r w:rsidRPr="001B5D10">
        <w:t xml:space="preserve"> </w:t>
      </w:r>
      <w:proofErr w:type="gramStart"/>
      <w:r w:rsidRPr="001B5D10">
        <w:t>На пример, стоматолог доприноси првенствено пацијентовом оралном здрављу, знајући да стање пацијентових зуба и десни има директну везу са његовим физичким и друштвеним здрављем.</w:t>
      </w:r>
      <w:proofErr w:type="gramEnd"/>
      <w:r w:rsidRPr="001B5D10">
        <w:t xml:space="preserve"> </w:t>
      </w:r>
      <w:proofErr w:type="gramStart"/>
      <w:r w:rsidRPr="001B5D10">
        <w:t xml:space="preserve">У складу са наведеним, стоматолог би могао рећи да је здравствени </w:t>
      </w:r>
      <w:r w:rsidRPr="001B5D10">
        <w:lastRenderedPageBreak/>
        <w:t>проблем каријес.</w:t>
      </w:r>
      <w:proofErr w:type="gramEnd"/>
      <w:r w:rsidRPr="001B5D10">
        <w:t xml:space="preserve"> Термин "здравствени проблем" се користи, а не "болест", "дијагноза" или "патологија", у складу са холистичким погледом да могу постојати проблеми, дефицити и патологије у једној компоненти здравља, док остале компоненте остају. </w:t>
      </w:r>
      <w:proofErr w:type="gramStart"/>
      <w:r w:rsidRPr="001B5D10">
        <w:t>Користећи термин „здравствени проблем“, олакшава се и размишљање и планирање здравствених програма за агрегате појединаца.</w:t>
      </w:r>
      <w:proofErr w:type="gramEnd"/>
      <w:r w:rsidRPr="001B5D10">
        <w:t xml:space="preserve"> </w:t>
      </w:r>
      <w:proofErr w:type="gramStart"/>
      <w:r w:rsidRPr="001B5D10">
        <w:t>Заједница, породица и школа могу имати здравствени проблем који је у средишту здравствене интервенције.</w:t>
      </w:r>
      <w:proofErr w:type="gramEnd"/>
      <w:r w:rsidRPr="001B5D10">
        <w:t xml:space="preserve"> </w:t>
      </w:r>
      <w:proofErr w:type="gramStart"/>
      <w:r w:rsidRPr="001B5D10">
        <w:t>Степен до којег планери здравствених програма имају заједничку дефиницију здравља и који су дефинисали опсег те дефиниције ће утицати на процену природе здравственог програма.</w:t>
      </w:r>
      <w:proofErr w:type="gramEnd"/>
      <w:r w:rsidRPr="001B5D10">
        <w:t xml:space="preserve"> </w:t>
      </w:r>
    </w:p>
    <w:p w:rsidR="009D5425" w:rsidRPr="001B5D10" w:rsidRDefault="009D5425" w:rsidP="009D5425">
      <w:pPr>
        <w:ind w:firstLine="720"/>
      </w:pPr>
      <w:proofErr w:type="gramStart"/>
      <w:r w:rsidRPr="001B5D10">
        <w:t>Здравље је предмет бриге више професија</w:t>
      </w:r>
      <w:r w:rsidR="00F21A63">
        <w:rPr>
          <w:lang/>
        </w:rPr>
        <w:t>,</w:t>
      </w:r>
      <w:r w:rsidRPr="001B5D10">
        <w:t xml:space="preserve"> него само здравствених радника, а такође, за многе Американце, концепт здравља се доживљава као право, заједно са грађанским правима и слободама.</w:t>
      </w:r>
      <w:proofErr w:type="gramEnd"/>
      <w:r w:rsidRPr="001B5D10">
        <w:t xml:space="preserve"> </w:t>
      </w:r>
      <w:proofErr w:type="gramStart"/>
      <w:r w:rsidRPr="001B5D10">
        <w:t>Право на здравље је често преведено од стране јавности и политичара у претпостављено да имају право на или приступ здравственој заштити.</w:t>
      </w:r>
      <w:proofErr w:type="gramEnd"/>
      <w:r w:rsidRPr="001B5D10">
        <w:t xml:space="preserve"> </w:t>
      </w:r>
      <w:proofErr w:type="gramStart"/>
      <w:r w:rsidRPr="001B5D10">
        <w:t>Овај политички аспект здравља је генеза здравствене политике на локалном, федералном и међународном нивоу.</w:t>
      </w:r>
      <w:proofErr w:type="gramEnd"/>
      <w:r w:rsidRPr="001B5D10">
        <w:t xml:space="preserve"> </w:t>
      </w:r>
      <w:proofErr w:type="gramStart"/>
      <w:r w:rsidRPr="001B5D10">
        <w:t>Степен до којег политичка природа здравља лежи у основи здравственог проблема који се тиче и који се програмски адресира, такође, ће утицати на коначну природу дефиниције здравственог програма.</w:t>
      </w:r>
      <w:proofErr w:type="gramEnd"/>
    </w:p>
    <w:p w:rsidR="009D5425" w:rsidRPr="001B5D10" w:rsidRDefault="009D5425" w:rsidP="009D5425">
      <w:pPr>
        <w:pStyle w:val="Heading3"/>
        <w:rPr>
          <w:sz w:val="20"/>
          <w:szCs w:val="20"/>
        </w:rPr>
      </w:pPr>
      <w:bookmarkStart w:id="8" w:name="_Toc535961272"/>
      <w:bookmarkStart w:id="9" w:name="_Toc4073245"/>
      <w:bookmarkStart w:id="10" w:name="_Toc7192482"/>
      <w:r w:rsidRPr="001B5D10">
        <w:rPr>
          <w:sz w:val="20"/>
          <w:szCs w:val="20"/>
        </w:rPr>
        <w:t>Историја планирања здравственог програма</w:t>
      </w:r>
      <w:bookmarkEnd w:id="8"/>
      <w:bookmarkEnd w:id="9"/>
      <w:bookmarkEnd w:id="10"/>
    </w:p>
    <w:p w:rsidR="009D5425" w:rsidRPr="001B5D10" w:rsidRDefault="009D5425" w:rsidP="00310E02">
      <w:proofErr w:type="gramStart"/>
      <w:r w:rsidRPr="001B5D10">
        <w:t>Историја планирања здравствених програма има</w:t>
      </w:r>
      <w:r w:rsidR="00F21A63">
        <w:t xml:space="preserve"> другачиј</w:t>
      </w:r>
      <w:r w:rsidR="00F21A63">
        <w:rPr>
          <w:lang/>
        </w:rPr>
        <w:t>и</w:t>
      </w:r>
      <w:r w:rsidR="00F21A63">
        <w:t xml:space="preserve"> </w:t>
      </w:r>
      <w:r w:rsidR="00F21A63">
        <w:rPr>
          <w:lang/>
        </w:rPr>
        <w:t>пут развоја</w:t>
      </w:r>
      <w:r w:rsidR="00F21A63">
        <w:t xml:space="preserve"> од он</w:t>
      </w:r>
      <w:r w:rsidR="00F21A63">
        <w:rPr>
          <w:lang/>
        </w:rPr>
        <w:t>ог</w:t>
      </w:r>
      <w:r w:rsidRPr="001B5D10">
        <w:t xml:space="preserve"> у евалуацији програма.</w:t>
      </w:r>
      <w:proofErr w:type="gramEnd"/>
      <w:r w:rsidRPr="001B5D10">
        <w:t xml:space="preserve"> </w:t>
      </w:r>
      <w:proofErr w:type="gramStart"/>
      <w:r w:rsidRPr="001B5D10">
        <w:t>Само релативно не</w:t>
      </w:r>
      <w:r w:rsidR="00F21A63">
        <w:t>давно, у историјском смислу, ов</w:t>
      </w:r>
      <w:r w:rsidR="00F21A63">
        <w:rPr>
          <w:lang/>
        </w:rPr>
        <w:t>и</w:t>
      </w:r>
      <w:r w:rsidR="00F21A63">
        <w:t xml:space="preserve"> </w:t>
      </w:r>
      <w:r w:rsidR="00F21A63">
        <w:rPr>
          <w:lang/>
        </w:rPr>
        <w:t>путеви</w:t>
      </w:r>
      <w:r w:rsidR="00F21A63">
        <w:t xml:space="preserve"> су почел</w:t>
      </w:r>
      <w:r w:rsidR="00F21A63">
        <w:rPr>
          <w:lang/>
        </w:rPr>
        <w:t>и</w:t>
      </w:r>
      <w:r w:rsidRPr="001B5D10">
        <w:t xml:space="preserve"> да се преклапају, што је резултирало синергијом.</w:t>
      </w:r>
      <w:proofErr w:type="gramEnd"/>
      <w:r w:rsidRPr="001B5D10">
        <w:t xml:space="preserve"> </w:t>
      </w:r>
      <w:proofErr w:type="gramStart"/>
      <w:r w:rsidRPr="001B5D10">
        <w:t>Планирање здравствених програма има старију историју, ако се разматра јавно здравље.</w:t>
      </w:r>
      <w:proofErr w:type="gramEnd"/>
      <w:r w:rsidRPr="001B5D10">
        <w:t xml:space="preserve"> </w:t>
      </w:r>
      <w:proofErr w:type="gramStart"/>
      <w:r w:rsidRPr="001B5D10">
        <w:rPr>
          <w:i/>
        </w:rPr>
        <w:t>Rosen</w:t>
      </w:r>
      <w:r w:rsidRPr="001B5D10">
        <w:t xml:space="preserve"> (1993) је тврдио да је планирање јавног здравља почело пре око 4000 година са планираним градовима у долини Инда, који су покривали планирање канализације.</w:t>
      </w:r>
      <w:proofErr w:type="gramEnd"/>
      <w:r w:rsidRPr="001B5D10">
        <w:t xml:space="preserve"> </w:t>
      </w:r>
      <w:proofErr w:type="gramStart"/>
      <w:r w:rsidRPr="001B5D10">
        <w:t>Посебно након индустријске револуције, планирање здравља становништва је напредовало и сада се сматра кључном карактеристиком дисциплине јавног здравља.</w:t>
      </w:r>
      <w:proofErr w:type="gramEnd"/>
    </w:p>
    <w:p w:rsidR="009D5425" w:rsidRPr="001B5D10" w:rsidRDefault="009D5425" w:rsidP="009D5425">
      <w:proofErr w:type="gramStart"/>
      <w:r w:rsidRPr="001B5D10">
        <w:rPr>
          <w:i/>
        </w:rPr>
        <w:t>Blum</w:t>
      </w:r>
      <w:r w:rsidRPr="001B5D10">
        <w:t xml:space="preserve"> (1981) се бавио планирањем напора који се предузимају у име јавног благостања, како би се постигла хотимична или намерна друштвена промена, као и пружање осећаја за смер и алтернативне начине поступања и како би се утицало на друштвене ставове и акције.</w:t>
      </w:r>
      <w:proofErr w:type="gramEnd"/>
      <w:r w:rsidRPr="001B5D10">
        <w:t xml:space="preserve"> </w:t>
      </w:r>
      <w:proofErr w:type="gramStart"/>
      <w:r w:rsidRPr="001B5D10">
        <w:t>Остали (</w:t>
      </w:r>
      <w:r w:rsidRPr="001B5D10">
        <w:rPr>
          <w:i/>
        </w:rPr>
        <w:t>Dever</w:t>
      </w:r>
      <w:r w:rsidRPr="001B5D10">
        <w:t xml:space="preserve">, 1980; </w:t>
      </w:r>
      <w:r w:rsidRPr="001B5D10">
        <w:rPr>
          <w:i/>
        </w:rPr>
        <w:t>Rohrer</w:t>
      </w:r>
      <w:r w:rsidRPr="001B5D10">
        <w:t xml:space="preserve">, 1996; </w:t>
      </w:r>
      <w:r w:rsidRPr="001B5D10">
        <w:rPr>
          <w:i/>
        </w:rPr>
        <w:t>Turnock</w:t>
      </w:r>
      <w:r w:rsidRPr="001B5D10">
        <w:t>, 2004) имају слично дефини</w:t>
      </w:r>
      <w:r w:rsidR="000628C0">
        <w:t xml:space="preserve">сано планирање као </w:t>
      </w:r>
      <w:r w:rsidR="000628C0">
        <w:rPr>
          <w:lang/>
        </w:rPr>
        <w:t>усмерену активност</w:t>
      </w:r>
      <w:r w:rsidRPr="001B5D10">
        <w:t xml:space="preserve"> да се створи нешто што се раније није догодило за побољшање других и у сврху испуњавања жељених циљева.</w:t>
      </w:r>
      <w:proofErr w:type="gramEnd"/>
      <w:r w:rsidRPr="001B5D10">
        <w:t xml:space="preserve"> </w:t>
      </w:r>
      <w:proofErr w:type="gramStart"/>
      <w:r w:rsidRPr="001B5D10">
        <w:t>Сврха планирања је да осигура да програм има најбољу могућу вероватноћу да буде успешан, дефинисан у смислу да буде делотворан са што мање могућих ресурса.</w:t>
      </w:r>
      <w:proofErr w:type="gramEnd"/>
      <w:r w:rsidRPr="001B5D10">
        <w:t xml:space="preserve"> </w:t>
      </w:r>
      <w:proofErr w:type="gramStart"/>
      <w:r w:rsidRPr="001B5D10">
        <w:t>Планирање обухвата низ активности које се предузимају у циљу испуњења ове сврхе.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Суштински пример планирања је развој и коришћење циљева програма Здравих људи (</w:t>
      </w:r>
      <w:r w:rsidRPr="001B5D10">
        <w:rPr>
          <w:i/>
        </w:rPr>
        <w:t>Healthy People</w:t>
      </w:r>
      <w:r w:rsidRPr="001B5D10">
        <w:t>).</w:t>
      </w:r>
      <w:proofErr w:type="gramEnd"/>
      <w:r w:rsidRPr="001B5D10">
        <w:t xml:space="preserve"> </w:t>
      </w:r>
      <w:proofErr w:type="gramStart"/>
      <w:r w:rsidRPr="001B5D10">
        <w:t>Године 1979.</w:t>
      </w:r>
      <w:proofErr w:type="gramEnd"/>
      <w:r w:rsidRPr="001B5D10">
        <w:t xml:space="preserve"> програм </w:t>
      </w:r>
      <w:r w:rsidRPr="001B5D10">
        <w:rPr>
          <w:rFonts w:cs="Arial"/>
        </w:rPr>
        <w:t>„</w:t>
      </w:r>
      <w:r w:rsidRPr="001B5D10">
        <w:t>Здрави људи</w:t>
      </w:r>
      <w:r w:rsidRPr="001B5D10">
        <w:rPr>
          <w:rFonts w:cs="Arial"/>
        </w:rPr>
        <w:t>”</w:t>
      </w:r>
      <w:r w:rsidRPr="001B5D10">
        <w:t xml:space="preserve"> (</w:t>
      </w:r>
      <w:r w:rsidRPr="001B5D10">
        <w:rPr>
          <w:i/>
        </w:rPr>
        <w:t>U.S. Department of Health, Education, and Welfare [DHEW]</w:t>
      </w:r>
      <w:r w:rsidRPr="001B5D10">
        <w:t>, 1979.) је објављен као резултат потребе за успостављањем програма превенције болести на подручју Сједињених Америчких Држава. Пратећа публикација, Промовисање здравља / Превенција болести (</w:t>
      </w:r>
      <w:r w:rsidRPr="001B5D10">
        <w:rPr>
          <w:i/>
        </w:rPr>
        <w:t>U.S. Department of Health and Human Services [DHHS]</w:t>
      </w:r>
      <w:r w:rsidRPr="001B5D10">
        <w:t xml:space="preserve">, 1980), означила је први пут да су циљеви у вези са специфичним подручјима здравља нације експлицитни, с очекивањем да ће ови циљеви бити остварени до 1990. </w:t>
      </w:r>
      <w:proofErr w:type="gramStart"/>
      <w:r w:rsidRPr="001B5D10">
        <w:t>године</w:t>
      </w:r>
      <w:proofErr w:type="gramEnd"/>
      <w:r w:rsidRPr="001B5D10">
        <w:t xml:space="preserve">. </w:t>
      </w:r>
    </w:p>
    <w:p w:rsidR="009D5425" w:rsidRPr="001B5D10" w:rsidRDefault="009D5425" w:rsidP="009D5425">
      <w:pPr>
        <w:ind w:firstLine="720"/>
      </w:pPr>
      <w:proofErr w:type="gramStart"/>
      <w:r w:rsidRPr="001B5D10">
        <w:t xml:space="preserve">Програми </w:t>
      </w:r>
      <w:r w:rsidRPr="001B5D10">
        <w:rPr>
          <w:rFonts w:cs="Arial"/>
        </w:rPr>
        <w:t>„</w:t>
      </w:r>
      <w:r w:rsidRPr="001B5D10">
        <w:t>Здрави људи</w:t>
      </w:r>
      <w:r w:rsidRPr="001B5D10">
        <w:rPr>
          <w:rFonts w:cs="Arial"/>
        </w:rPr>
        <w:t>”</w:t>
      </w:r>
      <w:r w:rsidRPr="001B5D10">
        <w:t xml:space="preserve"> постали су оквир за развој државних и локалних програма промоције здравља и превенције болести.</w:t>
      </w:r>
      <w:proofErr w:type="gramEnd"/>
      <w:r w:rsidRPr="001B5D10">
        <w:t xml:space="preserve"> </w:t>
      </w:r>
      <w:proofErr w:type="gramStart"/>
      <w:r w:rsidRPr="001B5D10">
        <w:t xml:space="preserve">Од свог објављивања, циљеви САД-а за национално здравље су ревидирани и објављени као </w:t>
      </w:r>
      <w:r w:rsidRPr="001B5D10">
        <w:rPr>
          <w:rFonts w:cs="Arial"/>
        </w:rPr>
        <w:t>„</w:t>
      </w:r>
      <w:r w:rsidRPr="001B5D10">
        <w:t>Здрави људи 2000</w:t>
      </w:r>
      <w:r w:rsidRPr="001B5D10">
        <w:rPr>
          <w:rFonts w:cs="Arial"/>
        </w:rPr>
        <w:t>”</w:t>
      </w:r>
      <w:r w:rsidRPr="001B5D10">
        <w:t xml:space="preserve"> (DHHS, 1991), </w:t>
      </w:r>
      <w:r w:rsidRPr="001B5D10">
        <w:rPr>
          <w:i/>
        </w:rPr>
        <w:t>Healthy Communities</w:t>
      </w:r>
      <w:r w:rsidRPr="001B5D10">
        <w:t xml:space="preserve"> 2000 (Америчка Асоцијација за јавно здравље (</w:t>
      </w:r>
      <w:r w:rsidRPr="001B5D10">
        <w:rPr>
          <w:i/>
        </w:rPr>
        <w:t>American Public Health Association</w:t>
      </w:r>
      <w:r w:rsidRPr="001B5D10">
        <w:t xml:space="preserve"> [APHA], 1991)), </w:t>
      </w:r>
      <w:r w:rsidRPr="001B5D10">
        <w:rPr>
          <w:rFonts w:cs="Arial"/>
        </w:rPr>
        <w:t>„</w:t>
      </w:r>
      <w:r w:rsidRPr="001B5D10">
        <w:t>Здрави људи 2010</w:t>
      </w:r>
      <w:r w:rsidRPr="001B5D10">
        <w:rPr>
          <w:rFonts w:cs="Arial"/>
        </w:rPr>
        <w:t>”</w:t>
      </w:r>
      <w:r w:rsidRPr="001B5D10">
        <w:t xml:space="preserve"> (DHHS, 2000), и, недавно, </w:t>
      </w:r>
      <w:r w:rsidRPr="001B5D10">
        <w:rPr>
          <w:rFonts w:cs="Arial"/>
        </w:rPr>
        <w:t>„</w:t>
      </w:r>
      <w:r w:rsidRPr="001B5D10">
        <w:t>Здрави људи 2020</w:t>
      </w:r>
      <w:r w:rsidRPr="001B5D10">
        <w:rPr>
          <w:rFonts w:cs="Arial"/>
        </w:rPr>
        <w:t>”</w:t>
      </w:r>
      <w:r w:rsidRPr="001B5D10">
        <w:t xml:space="preserve"> (DHHS, 2011).</w:t>
      </w:r>
      <w:proofErr w:type="gramEnd"/>
      <w:r w:rsidRPr="001B5D10">
        <w:t xml:space="preserve"> </w:t>
      </w:r>
      <w:proofErr w:type="gramStart"/>
      <w:r w:rsidRPr="001B5D10">
        <w:t xml:space="preserve">Важно је напоменути да су и друге земље поставиле циљеве здравственог статуса и да међународне организације, као што су Светска здравствена организација (СЗО) и </w:t>
      </w:r>
      <w:r w:rsidRPr="001B5D10">
        <w:rPr>
          <w:i/>
        </w:rPr>
        <w:t>Pan American Health Organization</w:t>
      </w:r>
      <w:r w:rsidRPr="001B5D10">
        <w:t xml:space="preserve"> (PAHO), развијају здравствене циљеве примењиве у свим земљама.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Еволуција циљева здравственог програма „Здрави људи”, такође, одражава убрзање стопе наглашавања на националној координацији напора за промоцију здравља и превенцију болести и ослањање на систематско планирање како би се постигла та координација.</w:t>
      </w:r>
      <w:proofErr w:type="gramEnd"/>
      <w:r w:rsidRPr="001B5D10">
        <w:rPr>
          <w:rFonts w:cs="Arial"/>
        </w:rPr>
        <w:t xml:space="preserve"> Развој публикације „Здрави људи</w:t>
      </w:r>
      <w:proofErr w:type="gramStart"/>
      <w:r w:rsidRPr="001B5D10">
        <w:rPr>
          <w:rFonts w:cs="Arial"/>
        </w:rPr>
        <w:t>“ такође</w:t>
      </w:r>
      <w:proofErr w:type="gramEnd"/>
      <w:r w:rsidRPr="001B5D10">
        <w:rPr>
          <w:rFonts w:cs="Arial"/>
        </w:rPr>
        <w:t xml:space="preserve"> одражава претпоставку већине планера да је планирање рационална активност, која може довести до резултата. </w:t>
      </w:r>
      <w:proofErr w:type="gramStart"/>
      <w:r w:rsidRPr="001B5D10">
        <w:rPr>
          <w:rFonts w:cs="Arial"/>
        </w:rPr>
        <w:t>Међутим, у вези са многим здравственим проблемима, Сједињене Америчке Државе још нису постигле постављене циљеве за 1990; ова чињеница одражава огроман потенцијал да планирање пропадне.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Имајући у виду овај потенцијал, нагласак у овом тексту је на техникама које ће помоћи будућим планерима здравствених програма да буду реалнији у постављању циљева и мање зависе од линеарно рационалног приступа планирању.</w:t>
      </w:r>
      <w:proofErr w:type="gramEnd"/>
      <w:r w:rsidRPr="001B5D10">
        <w:rPr>
          <w:rFonts w:cs="Arial"/>
        </w:rPr>
        <w:t xml:space="preserve"> </w:t>
      </w:r>
    </w:p>
    <w:p w:rsidR="009D5425" w:rsidRPr="001B5D10" w:rsidRDefault="000628C0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>
        <w:rPr>
          <w:rFonts w:cs="Arial"/>
        </w:rPr>
        <w:t>Циљев</w:t>
      </w:r>
      <w:r>
        <w:rPr>
          <w:rFonts w:cs="Arial"/>
          <w:lang/>
        </w:rPr>
        <w:t>е</w:t>
      </w:r>
      <w:r w:rsidR="009D5425" w:rsidRPr="001B5D10">
        <w:rPr>
          <w:rFonts w:cs="Arial"/>
        </w:rPr>
        <w:t xml:space="preserve"> здравственог програма</w:t>
      </w:r>
      <w:r>
        <w:rPr>
          <w:rFonts w:cs="Arial"/>
        </w:rPr>
        <w:t xml:space="preserve"> „Здрави људи 1990” су разви</w:t>
      </w:r>
      <w:r>
        <w:rPr>
          <w:rFonts w:cs="Arial"/>
          <w:lang/>
        </w:rPr>
        <w:t xml:space="preserve">ли </w:t>
      </w:r>
      <w:r>
        <w:rPr>
          <w:rFonts w:cs="Arial"/>
        </w:rPr>
        <w:t>академи</w:t>
      </w:r>
      <w:r>
        <w:rPr>
          <w:rFonts w:cs="Arial"/>
          <w:lang/>
        </w:rPr>
        <w:t>ци</w:t>
      </w:r>
      <w:r>
        <w:rPr>
          <w:rFonts w:cs="Arial"/>
        </w:rPr>
        <w:t xml:space="preserve"> и клинички</w:t>
      </w:r>
      <w:r w:rsidR="009D5425" w:rsidRPr="001B5D10">
        <w:rPr>
          <w:rFonts w:cs="Arial"/>
        </w:rPr>
        <w:t xml:space="preserve"> </w:t>
      </w:r>
      <w:r>
        <w:rPr>
          <w:rFonts w:cs="Arial"/>
        </w:rPr>
        <w:lastRenderedPageBreak/>
        <w:t>стручња</w:t>
      </w:r>
      <w:r>
        <w:rPr>
          <w:rFonts w:cs="Arial"/>
          <w:lang/>
        </w:rPr>
        <w:t>ци из области</w:t>
      </w:r>
      <w:r>
        <w:rPr>
          <w:rFonts w:cs="Arial"/>
        </w:rPr>
        <w:t xml:space="preserve"> превенциј</w:t>
      </w:r>
      <w:r>
        <w:rPr>
          <w:rFonts w:cs="Arial"/>
          <w:lang/>
        </w:rPr>
        <w:t>е</w:t>
      </w:r>
      <w:r>
        <w:rPr>
          <w:rFonts w:cs="Arial"/>
        </w:rPr>
        <w:t xml:space="preserve"> болести и промоциј</w:t>
      </w:r>
      <w:r>
        <w:rPr>
          <w:rFonts w:cs="Arial"/>
          <w:lang/>
        </w:rPr>
        <w:t>е</w:t>
      </w:r>
      <w:r w:rsidR="009D5425" w:rsidRPr="001B5D10">
        <w:rPr>
          <w:rFonts w:cs="Arial"/>
        </w:rPr>
        <w:t xml:space="preserve"> здравља.</w:t>
      </w:r>
      <w:proofErr w:type="gramEnd"/>
      <w:r w:rsidR="009D5425" w:rsidRPr="001B5D10">
        <w:rPr>
          <w:rFonts w:cs="Arial"/>
        </w:rPr>
        <w:t xml:space="preserve"> Насупрот томе, циљеви и здравствени проблеми наведени у програму „Здрави људи 2010” и „Здрави људи 2020” засновани су на идејама генерисаним на јавним форумима и путем коментара на Интернету, али су ове идеје ревидиране од стране експертских група пре њихове коначне публикације. </w:t>
      </w:r>
      <w:proofErr w:type="gramStart"/>
      <w:r w:rsidR="009D5425" w:rsidRPr="001B5D10">
        <w:rPr>
          <w:rFonts w:cs="Arial"/>
        </w:rPr>
        <w:t>Помак ка већем учешћу јавности у фази планирања здравствених програма је главна промена, која се сада сматра нормом.</w:t>
      </w:r>
      <w:proofErr w:type="gramEnd"/>
      <w:r w:rsidR="009D5425" w:rsidRPr="001B5D10">
        <w:rPr>
          <w:rFonts w:cs="Arial"/>
        </w:rPr>
        <w:t xml:space="preserve"> </w:t>
      </w:r>
      <w:proofErr w:type="gramStart"/>
      <w:r w:rsidR="009D5425" w:rsidRPr="001B5D10">
        <w:rPr>
          <w:rFonts w:cs="Arial"/>
        </w:rPr>
        <w:t>У складу са нагласком на учешће, улога и укљученост заинтересованих страна су наглашени у свакој фази планирања и циклуса евалуације.</w:t>
      </w:r>
      <w:proofErr w:type="gramEnd"/>
    </w:p>
    <w:p w:rsidR="009D5425" w:rsidRPr="001B5D10" w:rsidRDefault="00A77F0D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>
        <w:rPr>
          <w:rFonts w:cs="Arial"/>
        </w:rPr>
        <w:t xml:space="preserve">Историја евалуације, </w:t>
      </w:r>
      <w:r>
        <w:rPr>
          <w:rFonts w:cs="Arial"/>
          <w:lang/>
        </w:rPr>
        <w:t>из које се развила</w:t>
      </w:r>
      <w:r w:rsidR="009D5425" w:rsidRPr="001B5D10">
        <w:rPr>
          <w:rFonts w:cs="Arial"/>
        </w:rPr>
        <w:t xml:space="preserve"> пр</w:t>
      </w:r>
      <w:r>
        <w:rPr>
          <w:rFonts w:cs="Arial"/>
        </w:rPr>
        <w:t>оцена здравствених програма</w:t>
      </w:r>
      <w:r w:rsidR="009D5425" w:rsidRPr="001B5D10">
        <w:rPr>
          <w:rFonts w:cs="Arial"/>
        </w:rPr>
        <w:t>, далеко је краћа од историје планирања, почевши отприлике почетком 1900-их, али једнако је богата важним лекцијама за будуће евалуаторе здравствених програма.</w:t>
      </w:r>
      <w:proofErr w:type="gramEnd"/>
      <w:r w:rsidR="009D5425" w:rsidRPr="001B5D10">
        <w:rPr>
          <w:rFonts w:cs="Arial"/>
        </w:rPr>
        <w:t xml:space="preserve"> </w:t>
      </w:r>
      <w:proofErr w:type="gramStart"/>
      <w:r w:rsidR="009D5425" w:rsidRPr="001B5D10">
        <w:rPr>
          <w:rFonts w:cs="Arial"/>
        </w:rPr>
        <w:t>Прве оцене су извршене у области образовања, посебно као процена успеха ученика и заинтересованости за евалуацију наставних стратегија (</w:t>
      </w:r>
      <w:r w:rsidR="009D5425" w:rsidRPr="001B5D10">
        <w:rPr>
          <w:rFonts w:cs="Arial"/>
          <w:i/>
        </w:rPr>
        <w:t>Patton</w:t>
      </w:r>
      <w:r w:rsidR="009D5425" w:rsidRPr="001B5D10">
        <w:rPr>
          <w:rFonts w:cs="Arial"/>
        </w:rPr>
        <w:t>, 2008).</w:t>
      </w:r>
      <w:proofErr w:type="gramEnd"/>
      <w:r w:rsidR="009D5425" w:rsidRPr="001B5D10">
        <w:rPr>
          <w:rFonts w:cs="Arial"/>
        </w:rPr>
        <w:t xml:space="preserve"> </w:t>
      </w:r>
      <w:proofErr w:type="gramStart"/>
      <w:r w:rsidR="009D5425" w:rsidRPr="001B5D10">
        <w:rPr>
          <w:rFonts w:cs="Arial"/>
        </w:rPr>
        <w:t>Процена школског постигнућа ученика је релативно ограничен исход образовне интервенције и из тог разлога, рани евалуатори програма дошли су из дисциплине образовања, а из области образовања и психологије образовања су направљени многи методолошки помаци што је допринело развоју статистике.</w:t>
      </w:r>
      <w:proofErr w:type="gramEnd"/>
      <w:r w:rsidR="009D5425" w:rsidRPr="001B5D10">
        <w:rPr>
          <w:rFonts w:cs="Arial"/>
        </w:rPr>
        <w:t xml:space="preserve"> </w:t>
      </w:r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  <w:i/>
        </w:rPr>
        <w:t>Guba</w:t>
      </w:r>
      <w:r w:rsidRPr="001B5D10">
        <w:rPr>
          <w:rFonts w:cs="Arial"/>
        </w:rPr>
        <w:t xml:space="preserve"> и </w:t>
      </w:r>
      <w:r w:rsidRPr="001B5D10">
        <w:rPr>
          <w:rFonts w:cs="Arial"/>
          <w:i/>
        </w:rPr>
        <w:t>Lincoln</w:t>
      </w:r>
      <w:r w:rsidRPr="001B5D10">
        <w:rPr>
          <w:rFonts w:cs="Arial"/>
        </w:rPr>
        <w:t xml:space="preserve"> (1987) сумирали су историју евалуација предлажући генерацијске миљее или карактеристике које типизирају различите генерације.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 xml:space="preserve">Касније, </w:t>
      </w:r>
      <w:r w:rsidRPr="001B5D10">
        <w:rPr>
          <w:rFonts w:cs="Arial"/>
          <w:i/>
        </w:rPr>
        <w:t>Swenson</w:t>
      </w:r>
      <w:r w:rsidRPr="001B5D10">
        <w:rPr>
          <w:rFonts w:cs="Arial"/>
        </w:rPr>
        <w:t xml:space="preserve"> (1991) гради свој концепт генерација признајући да ће се појавити наредне генерације од којих ће свака укључивати знање о раним евалуацијама и проширивати то знање на основу садашњих широких културних и политичких трендова.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r w:rsidRPr="001B5D10">
        <w:rPr>
          <w:rFonts w:cs="Arial"/>
          <w:i/>
        </w:rPr>
        <w:t>Guba</w:t>
      </w:r>
      <w:r w:rsidRPr="001B5D10">
        <w:rPr>
          <w:rFonts w:cs="Arial"/>
        </w:rPr>
        <w:t xml:space="preserve"> и </w:t>
      </w:r>
      <w:r w:rsidRPr="001B5D10">
        <w:rPr>
          <w:rFonts w:cs="Arial"/>
          <w:i/>
        </w:rPr>
        <w:t>Lincoln</w:t>
      </w:r>
      <w:r w:rsidRPr="001B5D10">
        <w:rPr>
          <w:rFonts w:cs="Arial"/>
        </w:rPr>
        <w:t xml:space="preserve"> (1987) назвали су прву генерацију евалуација раних 1900-их “техничком генерацијом”, које су за то време, у настајању научног управљања, статистике и истраживачких методологија коришћене за тестирање интервенција. </w:t>
      </w:r>
      <w:proofErr w:type="gramStart"/>
      <w:r w:rsidRPr="001B5D10">
        <w:rPr>
          <w:rFonts w:cs="Arial"/>
        </w:rPr>
        <w:t>Тренутно, евалуације настављају инкорпорирати рационалност ове генерације користећи активности које су систематичне, научно утемељене, логичне и секвенцијалне.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Рационални приступи евалуацијама се фокусирају на идентификацију најпознатије интервенције или стратегије с обзиром на тренутно знање, мерење квантитативних исхода које су искусили учесници програма, те смањење степена ефекта програма.</w:t>
      </w:r>
      <w:proofErr w:type="gramEnd"/>
      <w:r w:rsidRPr="001B5D10">
        <w:rPr>
          <w:rFonts w:cs="Arial"/>
        </w:rPr>
        <w:t xml:space="preserve"> </w:t>
      </w:r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Друга генерација, која је трајала до шездесетих година, фокусирана је на коришћење циљева као основе за евалуацију, у складу са менаџерским трендом под називом управљање према циљевима, па су сходно томе евалуације друге генерације углавном биле дескриптивне.</w:t>
      </w:r>
      <w:proofErr w:type="gramEnd"/>
      <w:r w:rsidRPr="001B5D10">
        <w:rPr>
          <w:rFonts w:cs="Arial"/>
        </w:rPr>
        <w:t xml:space="preserve"> Увођењем широких иновација и иницирањем федералних програма социјалних услуга, укључујући </w:t>
      </w:r>
      <w:r w:rsidRPr="001B5D10">
        <w:rPr>
          <w:rFonts w:cs="Arial"/>
          <w:i/>
        </w:rPr>
        <w:t>Medicare</w:t>
      </w:r>
      <w:r w:rsidRPr="001B5D10">
        <w:rPr>
          <w:rFonts w:cs="Arial"/>
        </w:rPr>
        <w:t xml:space="preserve">, </w:t>
      </w:r>
      <w:r w:rsidRPr="001B5D10">
        <w:rPr>
          <w:rFonts w:cs="Arial"/>
          <w:i/>
        </w:rPr>
        <w:t>Medicaid</w:t>
      </w:r>
      <w:r w:rsidRPr="001B5D10">
        <w:rPr>
          <w:rFonts w:cs="Arial"/>
        </w:rPr>
        <w:t xml:space="preserve"> и </w:t>
      </w:r>
      <w:r w:rsidRPr="001B5D10">
        <w:rPr>
          <w:rFonts w:cs="Arial"/>
          <w:i/>
        </w:rPr>
        <w:t>Head Start</w:t>
      </w:r>
      <w:r w:rsidRPr="001B5D10">
        <w:rPr>
          <w:rFonts w:cs="Arial"/>
        </w:rPr>
        <w:t xml:space="preserve">, у 60-им годинама, фокус евалуација се пребацио на утврђивање заслуга и вредности програма. </w:t>
      </w:r>
      <w:proofErr w:type="gramStart"/>
      <w:r w:rsidRPr="001B5D10">
        <w:rPr>
          <w:rFonts w:cs="Arial"/>
        </w:rPr>
        <w:t>Због политичких питања која се тичу ових и сличних федералних програма, расла је свест о потреби да се утврди да ли социјалне политике имају икаквог утицаја на људе.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Програме је требало оцењивати према њиховим заслугама и делотворности.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Амерички генерални рачуноводствени уред ((</w:t>
      </w:r>
      <w:r w:rsidRPr="001B5D10">
        <w:rPr>
          <w:rFonts w:cs="Arial"/>
          <w:i/>
        </w:rPr>
        <w:t>U.S. General Accounting Office (GAO)</w:t>
      </w:r>
      <w:r w:rsidRPr="001B5D10">
        <w:rPr>
          <w:rFonts w:cs="Arial"/>
        </w:rPr>
        <w:t xml:space="preserve"> ГАО, сада зван Владин уред за одговорност) основан је 1921. године у сврху проучавања коришћења јавних финансија, помагања Конгреса у доношењу одлука у вези са политиком и финансирањем, као и у сврху процене владиних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Нагласак друге генерације на процени ефеката квантификације подстакнут је, делом, извештајима ГАО-а који су засновани на проценама федералних програма.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Типично, резултати евалуација нису коришћени у “раним” данима евалуације образовних и социјалних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То јест, федерална здравствена политика није била вођена тиме да ли су евалуације показале да су програми успешни.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Иако је научна строгост евалуација побољшана, њихова корисност је остала минимална.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Међутим, почевши од 1980-их, почела је трећа генерација евалуација - названа “генерација преговарања” или “генерација одговора”.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Током ове генерације, евалуатори су почели да признају да нису аутономни и да њихов рад треба да одговори на потребе оних који се оцењују.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Као резултат ове свести, појавило се неколико линија.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Ове линије у генерацији одговора одражавају тренутну разноликост у типовима, нагласцима и филозофијама које се односе на евалуацију програма.</w:t>
      </w:r>
      <w:proofErr w:type="gramEnd"/>
    </w:p>
    <w:p w:rsidR="009D5425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Једна линија је евалуација усредсређена на коришћење (</w:t>
      </w:r>
      <w:r w:rsidRPr="001B5D10">
        <w:rPr>
          <w:rFonts w:cs="Arial"/>
          <w:i/>
        </w:rPr>
        <w:t>Patton</w:t>
      </w:r>
      <w:r w:rsidRPr="001B5D10">
        <w:rPr>
          <w:rFonts w:cs="Arial"/>
        </w:rPr>
        <w:t>, 2008), у којој је примарна брига евалуатора да развије евалуацију коју ће користити заинтересоване стране.</w:t>
      </w:r>
      <w:proofErr w:type="gramEnd"/>
      <w:r w:rsidRPr="001B5D10">
        <w:rPr>
          <w:rFonts w:cs="Arial"/>
        </w:rPr>
        <w:t xml:space="preserve"> Евалуације усмерене ка коришћењу се граде на следећим принципима (</w:t>
      </w:r>
      <w:r w:rsidRPr="001B5D10">
        <w:rPr>
          <w:rFonts w:cs="Arial"/>
          <w:i/>
        </w:rPr>
        <w:t>Patton</w:t>
      </w:r>
      <w:r w:rsidRPr="001B5D10">
        <w:rPr>
          <w:rFonts w:cs="Arial"/>
        </w:rPr>
        <w:t xml:space="preserve">, 1987): брига за коришћење евалуације прожима евалуацију од почетка до краја, евалуације су усмерене на интересе и потребе корисника, корисници евалуације морају бити укључени у одлуке које се тичу евалуације, а различите заједнице, организациони, политички, ресурсни и научни фактори утичу на коришћење евалуација. </w:t>
      </w:r>
      <w:proofErr w:type="gramStart"/>
      <w:r w:rsidRPr="001B5D10">
        <w:rPr>
          <w:rFonts w:cs="Arial"/>
        </w:rPr>
        <w:t>Евалуација усмерена на коришћење разликује се од евалуација које су фокусиране на исходе.</w:t>
      </w:r>
      <w:proofErr w:type="gramEnd"/>
      <w:r w:rsidRPr="001B5D10">
        <w:rPr>
          <w:rFonts w:cs="Arial"/>
        </w:rPr>
        <w:t xml:space="preserve"> (Табела 1-1)</w:t>
      </w:r>
    </w:p>
    <w:p w:rsidR="00DF14DA" w:rsidRPr="00DF14DA" w:rsidRDefault="00DF14DA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</w:p>
    <w:tbl>
      <w:tblPr>
        <w:tblStyle w:val="LightList-Accent11"/>
        <w:tblW w:w="0" w:type="auto"/>
        <w:tblLook w:val="04A0"/>
      </w:tblPr>
      <w:tblGrid>
        <w:gridCol w:w="3095"/>
        <w:gridCol w:w="2825"/>
        <w:gridCol w:w="3367"/>
      </w:tblGrid>
      <w:tr w:rsidR="009D5425" w:rsidRPr="001B5D10" w:rsidTr="005F41EB">
        <w:trPr>
          <w:cnfStyle w:val="100000000000"/>
        </w:trPr>
        <w:tc>
          <w:tcPr>
            <w:cnfStyle w:val="001000000000"/>
            <w:tcW w:w="9287" w:type="dxa"/>
            <w:gridSpan w:val="3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1B5D10">
              <w:rPr>
                <w:rFonts w:cs="Arial"/>
              </w:rPr>
              <w:t>Табела 1-1. Поређење евалуација усмерених на исход и евалуација усмерених на коришћење</w:t>
            </w:r>
          </w:p>
        </w:tc>
      </w:tr>
      <w:tr w:rsidR="009D5425" w:rsidRPr="001B5D10" w:rsidTr="005F41EB">
        <w:trPr>
          <w:cnfStyle w:val="000000100000"/>
        </w:trPr>
        <w:tc>
          <w:tcPr>
            <w:cnfStyle w:val="001000000000"/>
            <w:tcW w:w="3095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  <w:tc>
          <w:tcPr>
            <w:tcW w:w="2825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jc w:val="center"/>
              <w:cnfStyle w:val="000000100000"/>
              <w:rPr>
                <w:rFonts w:cs="Arial"/>
                <w:b/>
              </w:rPr>
            </w:pPr>
            <w:r w:rsidRPr="001B5D10">
              <w:rPr>
                <w:rFonts w:cs="Arial"/>
                <w:b/>
              </w:rPr>
              <w:t>Евалуација усмерена на исход</w:t>
            </w:r>
          </w:p>
        </w:tc>
        <w:tc>
          <w:tcPr>
            <w:tcW w:w="3367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jc w:val="center"/>
              <w:cnfStyle w:val="000000100000"/>
              <w:rPr>
                <w:rFonts w:cs="Arial"/>
                <w:b/>
              </w:rPr>
            </w:pPr>
            <w:r w:rsidRPr="001B5D10">
              <w:rPr>
                <w:rFonts w:cs="Arial"/>
                <w:b/>
              </w:rPr>
              <w:t>Евалуација усмерена на коришћење</w:t>
            </w:r>
          </w:p>
        </w:tc>
      </w:tr>
      <w:tr w:rsidR="009D5425" w:rsidRPr="001B5D10" w:rsidTr="00F72178">
        <w:tc>
          <w:tcPr>
            <w:cnfStyle w:val="001000000000"/>
            <w:tcW w:w="309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 w:val="0"/>
              </w:rPr>
            </w:pPr>
            <w:r w:rsidRPr="001B5D10">
              <w:rPr>
                <w:rFonts w:cs="Arial"/>
                <w:b w:val="0"/>
              </w:rPr>
              <w:t>Сврха</w:t>
            </w:r>
          </w:p>
        </w:tc>
        <w:tc>
          <w:tcPr>
            <w:tcW w:w="282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Да представи сврху програма</w:t>
            </w:r>
          </w:p>
        </w:tc>
        <w:tc>
          <w:tcPr>
            <w:tcW w:w="3367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 xml:space="preserve">Довођење заинтересоване стране да користи закључке евалуације, као и да исте користи за побољшање програма и развој будућих програма </w:t>
            </w:r>
          </w:p>
        </w:tc>
      </w:tr>
      <w:tr w:rsidR="009D5425" w:rsidRPr="001B5D10" w:rsidTr="00F72178">
        <w:trPr>
          <w:cnfStyle w:val="000000100000"/>
        </w:trPr>
        <w:tc>
          <w:tcPr>
            <w:cnfStyle w:val="001000000000"/>
            <w:tcW w:w="309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 w:val="0"/>
              </w:rPr>
            </w:pPr>
            <w:r w:rsidRPr="001B5D10">
              <w:rPr>
                <w:rFonts w:cs="Arial"/>
                <w:b w:val="0"/>
              </w:rPr>
              <w:t>Аудијенција</w:t>
            </w:r>
          </w:p>
        </w:tc>
        <w:tc>
          <w:tcPr>
            <w:tcW w:w="282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>Оснивачи, истраживачи, други спољни чланови</w:t>
            </w:r>
          </w:p>
        </w:tc>
        <w:tc>
          <w:tcPr>
            <w:tcW w:w="3367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cnfStyle w:val="000000100000"/>
              <w:rPr>
                <w:rFonts w:cs="Arial"/>
              </w:rPr>
            </w:pPr>
            <w:r w:rsidRPr="001B5D10">
              <w:rPr>
                <w:rFonts w:cs="Arial"/>
              </w:rPr>
              <w:t xml:space="preserve">Људи </w:t>
            </w:r>
            <w:r w:rsidR="009804F6">
              <w:rPr>
                <w:rFonts w:cs="Arial"/>
              </w:rPr>
              <w:t>укључени у пр</w:t>
            </w:r>
            <w:r w:rsidR="009804F6">
              <w:rPr>
                <w:rFonts w:cs="Arial"/>
                <w:lang/>
              </w:rPr>
              <w:t>о</w:t>
            </w:r>
            <w:r w:rsidRPr="001B5D10">
              <w:rPr>
                <w:rFonts w:cs="Arial"/>
              </w:rPr>
              <w:t>грам  (интерна публика), донатори (оснивачи)</w:t>
            </w:r>
          </w:p>
        </w:tc>
      </w:tr>
      <w:tr w:rsidR="009D5425" w:rsidRPr="001B5D10" w:rsidTr="00F72178">
        <w:tc>
          <w:tcPr>
            <w:cnfStyle w:val="001000000000"/>
            <w:tcW w:w="309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 w:val="0"/>
              </w:rPr>
            </w:pPr>
            <w:r w:rsidRPr="001B5D10">
              <w:rPr>
                <w:rFonts w:cs="Arial"/>
                <w:b w:val="0"/>
              </w:rPr>
              <w:t>Метод</w:t>
            </w:r>
          </w:p>
        </w:tc>
        <w:tc>
          <w:tcPr>
            <w:tcW w:w="2825" w:type="dxa"/>
            <w:vAlign w:val="center"/>
          </w:tcPr>
          <w:p w:rsidR="009D5425" w:rsidRPr="001B5D10" w:rsidRDefault="009D5425" w:rsidP="00F72178">
            <w:pPr>
              <w:widowControl w:val="0"/>
              <w:autoSpaceDE w:val="0"/>
              <w:autoSpaceDN w:val="0"/>
              <w:adjustRightInd w:val="0"/>
              <w:jc w:val="center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Методе истраживања, спољни евалуатори (обично)</w:t>
            </w:r>
          </w:p>
        </w:tc>
        <w:tc>
          <w:tcPr>
            <w:tcW w:w="3367" w:type="dxa"/>
          </w:tcPr>
          <w:p w:rsidR="009D5425" w:rsidRPr="001B5D10" w:rsidRDefault="009D5425" w:rsidP="005F41EB">
            <w:pPr>
              <w:widowControl w:val="0"/>
              <w:autoSpaceDE w:val="0"/>
              <w:autoSpaceDN w:val="0"/>
              <w:adjustRightInd w:val="0"/>
              <w:cnfStyle w:val="000000000000"/>
              <w:rPr>
                <w:rFonts w:cs="Arial"/>
              </w:rPr>
            </w:pPr>
            <w:r w:rsidRPr="001B5D10">
              <w:rPr>
                <w:rFonts w:cs="Arial"/>
              </w:rPr>
              <w:t>Методе истраживања, партиципаторне</w:t>
            </w:r>
          </w:p>
        </w:tc>
      </w:tr>
    </w:tbl>
    <w:p w:rsidR="009D5425" w:rsidRPr="001B5D10" w:rsidRDefault="009D5425" w:rsidP="009D5425">
      <w:pPr>
        <w:widowControl w:val="0"/>
        <w:autoSpaceDE w:val="0"/>
        <w:autoSpaceDN w:val="0"/>
        <w:adjustRightInd w:val="0"/>
        <w:rPr>
          <w:rFonts w:cs="Arial"/>
        </w:rPr>
      </w:pPr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Друга линија је партиципаторна евалуација (</w:t>
      </w:r>
      <w:r w:rsidRPr="001B5D10">
        <w:rPr>
          <w:rFonts w:cs="Arial"/>
          <w:i/>
        </w:rPr>
        <w:t>Whitmore</w:t>
      </w:r>
      <w:r w:rsidRPr="001B5D10">
        <w:rPr>
          <w:rFonts w:cs="Arial"/>
        </w:rPr>
        <w:t>, 1998), у којој је евалуација само вођена од стране стручњака и заправо је генерисана од стране оних који су инвестирали у здравствени проблем.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Приступ учешћа или оснаживања позива широк спектар заинтересованих страна у активност планирања и евалуације, пружајући учесницима вештине и знање, како би значајно допринели активностима и подстакли њихов осећај власништва над производом.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r w:rsidRPr="001B5D10">
        <w:rPr>
          <w:rFonts w:cs="Arial"/>
        </w:rPr>
        <w:t xml:space="preserve">Четврта генерација евалуације, која се појавила средином 1990-их, изгледа да је мета-евалуација: то јест, евалуација евалуација обављених у сличним програмима. </w:t>
      </w:r>
      <w:proofErr w:type="gramStart"/>
      <w:r w:rsidRPr="001B5D10">
        <w:rPr>
          <w:rFonts w:cs="Arial"/>
        </w:rPr>
        <w:t>Овај тренд у евалуацији програма је у складу са трендом у друштвеним наукама према коришћењу мета-анализе постојећих студија к</w:t>
      </w:r>
      <w:r w:rsidR="0048571E">
        <w:rPr>
          <w:rFonts w:cs="Arial"/>
        </w:rPr>
        <w:t>ако би боље разумели теор</w:t>
      </w:r>
      <w:r w:rsidR="0048571E">
        <w:rPr>
          <w:rFonts w:cs="Arial"/>
          <w:lang/>
        </w:rPr>
        <w:t xml:space="preserve">ијске </w:t>
      </w:r>
      <w:r w:rsidRPr="001B5D10">
        <w:rPr>
          <w:rFonts w:cs="Arial"/>
        </w:rPr>
        <w:t>односе.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Такође, у складу са трендом у свим здравственим професијама, према коришћењу мета-анализе постојећих истраживања за развој праксе засноване на доказима.</w:t>
      </w:r>
      <w:proofErr w:type="gramEnd"/>
      <w:r w:rsidRPr="001B5D10">
        <w:rPr>
          <w:rFonts w:cs="Arial"/>
        </w:rPr>
        <w:t xml:space="preserve"> </w:t>
      </w:r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Ова нова генерација је постала могућа јер култура евалуације сада прожима здравствене услуге, а огромни скупови података су доступни за употребу у мета-евалуацији.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 xml:space="preserve">Један од показатеља културе евалуације је мандат од </w:t>
      </w:r>
      <w:r w:rsidRPr="001B5D10">
        <w:rPr>
          <w:rFonts w:cs="Arial"/>
          <w:i/>
        </w:rPr>
        <w:t>United Way</w:t>
      </w:r>
      <w:r w:rsidRPr="001B5D10">
        <w:rPr>
          <w:rFonts w:cs="Arial"/>
        </w:rPr>
        <w:t>, главног финансијера здравствених програма заснованих на заједници, да стипендисти проводе евалуацију исхода.</w:t>
      </w:r>
      <w:proofErr w:type="gramEnd"/>
      <w:r w:rsidRPr="001B5D10">
        <w:t xml:space="preserve"> </w:t>
      </w:r>
      <w:proofErr w:type="gramStart"/>
      <w:r w:rsidRPr="001B5D10">
        <w:rPr>
          <w:rFonts w:cs="Arial"/>
        </w:rPr>
        <w:t xml:space="preserve">Да би помогли донаторима да испуне овај мандат, </w:t>
      </w:r>
      <w:r w:rsidRPr="001B5D10">
        <w:rPr>
          <w:rFonts w:cs="Arial"/>
          <w:i/>
        </w:rPr>
        <w:t>United Way</w:t>
      </w:r>
      <w:r w:rsidRPr="001B5D10">
        <w:rPr>
          <w:rFonts w:cs="Arial"/>
        </w:rPr>
        <w:t xml:space="preserve"> је објавио приручник (</w:t>
      </w:r>
      <w:r w:rsidRPr="001B5D10">
        <w:rPr>
          <w:rFonts w:cs="Arial"/>
          <w:i/>
        </w:rPr>
        <w:t>United Way of America</w:t>
      </w:r>
      <w:r w:rsidRPr="001B5D10">
        <w:rPr>
          <w:rFonts w:cs="Arial"/>
        </w:rPr>
        <w:t>, 1996) који би могли користити непрофесионалци у развоју основних евалуација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Култура евалуације је најочигледнија у експлицитним захтевима федералних агенција које финансирају здравствене програме засноване на заједници, да такви програми укључују евалуације које врше локални евалуатори.</w:t>
      </w:r>
      <w:proofErr w:type="gramEnd"/>
      <w:r w:rsidRPr="001B5D10">
        <w:rPr>
          <w:rFonts w:cs="Arial"/>
        </w:rPr>
        <w:t xml:space="preserve"> </w:t>
      </w:r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Упркос сложености ове последње фазе евалуације, већина људи има интуитиван осећај за то шта је евалуација.</w:t>
      </w:r>
      <w:proofErr w:type="gramEnd"/>
      <w:r w:rsidRPr="001B5D10">
        <w:rPr>
          <w:rFonts w:cs="Arial"/>
        </w:rPr>
        <w:t xml:space="preserve"> Сврха евалуације може бити мерење ефеката програма у односу на постављене циљеве, како би се допринело накнадном одлучивању о програму (</w:t>
      </w:r>
      <w:r w:rsidRPr="001B5D10">
        <w:rPr>
          <w:rFonts w:cs="Arial"/>
          <w:i/>
        </w:rPr>
        <w:t>Weiss</w:t>
      </w:r>
      <w:r w:rsidRPr="001B5D10">
        <w:rPr>
          <w:rFonts w:cs="Arial"/>
        </w:rPr>
        <w:t>, 1972), такође, алтернативно, евалуација се може дефинисати као “употреба метода друштвених истраживања за систематско истраживање ефикасности програма социјалних интервенција на начин који је прилагођен њиховим политичким и организационим окружењима и осмишљен је тако да информише друштвене активности за побољшање социјалних услова” (</w:t>
      </w:r>
      <w:r w:rsidRPr="001B5D10">
        <w:rPr>
          <w:rFonts w:cs="Arial"/>
          <w:i/>
        </w:rPr>
        <w:t>Rossi, Lipsey, &amp; Freeman</w:t>
      </w:r>
      <w:r w:rsidRPr="001B5D10">
        <w:rPr>
          <w:rFonts w:cs="Arial"/>
        </w:rPr>
        <w:t xml:space="preserve">, 2004). </w:t>
      </w:r>
      <w:proofErr w:type="gramStart"/>
      <w:r w:rsidRPr="001B5D10">
        <w:rPr>
          <w:rFonts w:cs="Arial"/>
        </w:rPr>
        <w:t>Други (</w:t>
      </w:r>
      <w:r w:rsidRPr="001B5D10">
        <w:rPr>
          <w:rFonts w:cs="Arial"/>
          <w:i/>
        </w:rPr>
        <w:t>Herman, Morris, &amp; Fitz-Gibbon</w:t>
      </w:r>
      <w:r w:rsidRPr="001B5D10">
        <w:rPr>
          <w:rFonts w:cs="Arial"/>
        </w:rPr>
        <w:t>, 1987) су дефинисали евалуацију као процену колико добро функционишу политике и процедуре или као процену квалитета програма.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Обе дефиниције евалуације остају релевантне.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ind w:firstLine="720"/>
        <w:rPr>
          <w:rFonts w:cs="Arial"/>
        </w:rPr>
      </w:pPr>
      <w:proofErr w:type="gramStart"/>
      <w:r w:rsidRPr="001B5D10">
        <w:rPr>
          <w:rFonts w:cs="Arial"/>
        </w:rPr>
        <w:t>Неодвојив елемент у овим дефиницијама евалуације је елемент оцењивања према неким критеријима.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Ово имплицитно разумевање евалуације води оне који су укључени у здравственом програму да се осећају као да ће им се судити или ће се сматрати да не испуњавају те критерије и да ће након тога искусити неки облик реперкусија.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Могу се бојати да ће као појединци или као програм бити означени као неуспех, неуспешни или неадекватни.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Таква осећања морају бити призната и адресирана у раној фази планирања циклуса.</w:t>
      </w:r>
      <w:proofErr w:type="gramEnd"/>
      <w:r w:rsidRPr="001B5D10">
        <w:rPr>
          <w:rFonts w:cs="Arial"/>
        </w:rPr>
        <w:t xml:space="preserve"> </w:t>
      </w:r>
      <w:proofErr w:type="gramStart"/>
      <w:r w:rsidRPr="001B5D10">
        <w:rPr>
          <w:rFonts w:cs="Arial"/>
        </w:rPr>
        <w:t>Током циклуса планирања и евалуације, планери програма имају бројне могућности да ангажују и укључе особље програма и заинтересоване стране у процес евалуације и искоришћавање ових могућности дуг је пут у ублажавању брига особља програма и заинтересованих страна о квалитету просуђивања евалуације програма.</w:t>
      </w:r>
      <w:proofErr w:type="gramEnd"/>
    </w:p>
    <w:p w:rsidR="009D5425" w:rsidRPr="001B5D10" w:rsidRDefault="009D5425" w:rsidP="009D5425">
      <w:pPr>
        <w:widowControl w:val="0"/>
        <w:autoSpaceDE w:val="0"/>
        <w:autoSpaceDN w:val="0"/>
        <w:adjustRightInd w:val="0"/>
        <w:rPr>
          <w:rFonts w:cs="Arial"/>
        </w:rPr>
      </w:pPr>
    </w:p>
    <w:p w:rsidR="009D5425" w:rsidRPr="001B5D10" w:rsidRDefault="009D5425" w:rsidP="009D5425">
      <w:pPr>
        <w:pStyle w:val="Heading2"/>
        <w:rPr>
          <w:sz w:val="20"/>
          <w:szCs w:val="20"/>
        </w:rPr>
      </w:pPr>
      <w:bookmarkStart w:id="11" w:name="_Toc535961273"/>
      <w:bookmarkStart w:id="12" w:name="_Toc4073246"/>
      <w:bookmarkStart w:id="13" w:name="_Toc7192483"/>
      <w:r w:rsidRPr="001B5D10">
        <w:rPr>
          <w:sz w:val="20"/>
          <w:szCs w:val="20"/>
        </w:rPr>
        <w:lastRenderedPageBreak/>
        <w:t>Евалуација као професија</w:t>
      </w:r>
      <w:bookmarkEnd w:id="11"/>
      <w:bookmarkEnd w:id="12"/>
      <w:bookmarkEnd w:id="13"/>
    </w:p>
    <w:p w:rsidR="009D5425" w:rsidRPr="001B5D10" w:rsidRDefault="009D5425" w:rsidP="005C65BB">
      <w:proofErr w:type="gramStart"/>
      <w:r w:rsidRPr="001B5D10">
        <w:t>Главни развој у области евалуације је професионализација евалуатора.</w:t>
      </w:r>
      <w:proofErr w:type="gramEnd"/>
      <w:r w:rsidRPr="001B5D10">
        <w:t xml:space="preserve"> </w:t>
      </w:r>
      <w:proofErr w:type="gramStart"/>
      <w:r w:rsidRPr="001B5D10">
        <w:t>Америчка асоцијација за евалуацију (АЕА), основана 1986.</w:t>
      </w:r>
      <w:proofErr w:type="gramEnd"/>
      <w:r w:rsidRPr="001B5D10">
        <w:t xml:space="preserve"> године, служи за евалуацију првенствено у Сједињеним Америчким Државама</w:t>
      </w:r>
      <w:r w:rsidR="00E95660">
        <w:t>. Постоји</w:t>
      </w:r>
      <w:r w:rsidR="00E95660">
        <w:rPr>
          <w:lang/>
        </w:rPr>
        <w:t xml:space="preserve"> још</w:t>
      </w:r>
      <w:r w:rsidR="00E95660">
        <w:t xml:space="preserve"> неколико </w:t>
      </w:r>
      <w:r w:rsidR="00E95660">
        <w:rPr>
          <w:lang/>
        </w:rPr>
        <w:t>удружења</w:t>
      </w:r>
      <w:r w:rsidRPr="001B5D10">
        <w:t xml:space="preserve">, као што је Друштво за евалуацију у Уједињеном Краљевству и </w:t>
      </w:r>
      <w:r w:rsidR="00E95660" w:rsidRPr="00E95660">
        <w:rPr>
          <w:lang/>
        </w:rPr>
        <w:t>Удружење за евалуацију у Аустралији</w:t>
      </w:r>
      <w:r w:rsidRPr="001B5D10">
        <w:t>. Оснивање ових професионалних организација, чији су чланови евалуатори, и присуство секција које се односе на здравље у оквиру ових организација, показују постојање стручности и специјализованог знања из области повезаних са евалуацијом здравствених програма.</w:t>
      </w:r>
    </w:p>
    <w:p w:rsidR="009D5425" w:rsidRPr="001B5D10" w:rsidRDefault="009D5425" w:rsidP="009D5425">
      <w:pPr>
        <w:ind w:firstLine="720"/>
      </w:pPr>
      <w:r w:rsidRPr="001B5D10">
        <w:t>Како се п</w:t>
      </w:r>
      <w:r w:rsidR="00E95660">
        <w:t xml:space="preserve">оље евалуације развијало, тако се </w:t>
      </w:r>
      <w:proofErr w:type="gramStart"/>
      <w:r w:rsidR="00E95660">
        <w:t xml:space="preserve">повећавао </w:t>
      </w:r>
      <w:r w:rsidRPr="001B5D10">
        <w:t xml:space="preserve"> број</w:t>
      </w:r>
      <w:proofErr w:type="gramEnd"/>
      <w:r w:rsidRPr="001B5D10">
        <w:t xml:space="preserve"> и разноликост приступа који могу резултовати развојем евалуација. </w:t>
      </w:r>
      <w:proofErr w:type="gramStart"/>
      <w:r w:rsidRPr="001B5D10">
        <w:t>Тренутно је идентификовано 26 различитих приступа евалуацији, који спадају у 3 главне групе (</w:t>
      </w:r>
      <w:r w:rsidRPr="001B5D10">
        <w:rPr>
          <w:i/>
        </w:rPr>
        <w:t>Stufflebeam &amp; Shinkfield</w:t>
      </w:r>
      <w:r w:rsidRPr="001B5D10">
        <w:t>, 2007).</w:t>
      </w:r>
      <w:proofErr w:type="gramEnd"/>
      <w:r w:rsidRPr="001B5D10">
        <w:t xml:space="preserve"> </w:t>
      </w:r>
      <w:proofErr w:type="gramStart"/>
      <w:r w:rsidRPr="001B5D10">
        <w:t>Једна група евалуација је оријентисана на питања и методе, као што су евалуације засноване на циљевима и експерименталне евалуације.</w:t>
      </w:r>
      <w:proofErr w:type="gramEnd"/>
      <w:r w:rsidRPr="001B5D10">
        <w:t xml:space="preserve"> </w:t>
      </w:r>
      <w:proofErr w:type="gramStart"/>
      <w:r w:rsidRPr="001B5D10">
        <w:t>Друга група евалуација је орјентисана на побољшања и одговорност и укључује приступ усмерен на потрошаче и акредитацију.</w:t>
      </w:r>
      <w:proofErr w:type="gramEnd"/>
      <w:r w:rsidRPr="001B5D10">
        <w:t xml:space="preserve"> </w:t>
      </w:r>
      <w:proofErr w:type="gramStart"/>
      <w:r w:rsidRPr="001B5D10">
        <w:t>Трећа група евалуација је она која има социјални програм или приступ заговарања, као што су одговорне евалуације, демократске процене и евалуација усредсређена на коришћење.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Неколико концепата је заједничко за све врсте евалуација - наиме, плурализам вредности, предлози заинтересованих страна, праведност и поштење заинтересованих страна, заслуга и вредност евалуације, преговарачки процес и исходи, те пуна сарадња.</w:t>
      </w:r>
      <w:proofErr w:type="gramEnd"/>
      <w:r w:rsidRPr="001B5D10">
        <w:t xml:space="preserve"> </w:t>
      </w:r>
      <w:proofErr w:type="gramStart"/>
      <w:r w:rsidRPr="001B5D10">
        <w:t>Ови концепти су формализовани у стандарде за евалуације које је успоставила Заједничка комисија за стандарде образовне евалуације из 1975.</w:t>
      </w:r>
      <w:proofErr w:type="gramEnd"/>
      <w:r w:rsidRPr="001B5D10">
        <w:t xml:space="preserve"> </w:t>
      </w:r>
      <w:proofErr w:type="gramStart"/>
      <w:r w:rsidRPr="001B5D10">
        <w:t>(</w:t>
      </w:r>
      <w:r w:rsidRPr="001B5D10">
        <w:rPr>
          <w:i/>
        </w:rPr>
        <w:t>American Evaluation Association</w:t>
      </w:r>
      <w:r w:rsidRPr="001B5D10">
        <w:t>, 2011).</w:t>
      </w:r>
      <w:proofErr w:type="gramEnd"/>
      <w:r w:rsidRPr="001B5D10">
        <w:t xml:space="preserve"> </w:t>
      </w:r>
      <w:proofErr w:type="gramStart"/>
      <w:r w:rsidRPr="001B5D10">
        <w:t>Тренутно, ова Заједничка комисија укључује многе организације у своје чланство, као што су Америчка асоцијација за евалуацију и Америчко удружење за истраживање образовања (</w:t>
      </w:r>
      <w:r w:rsidRPr="001B5D10">
        <w:rPr>
          <w:i/>
        </w:rPr>
        <w:t>American Evaluation Association</w:t>
      </w:r>
      <w:r w:rsidRPr="001B5D10">
        <w:t xml:space="preserve"> и </w:t>
      </w:r>
      <w:r w:rsidRPr="001B5D10">
        <w:rPr>
          <w:i/>
        </w:rPr>
        <w:t>American Educational Research Association</w:t>
      </w:r>
      <w:r w:rsidRPr="001B5D10">
        <w:t>).</w:t>
      </w:r>
      <w:proofErr w:type="gramEnd"/>
    </w:p>
    <w:p w:rsidR="009D5425" w:rsidRPr="001B5D10" w:rsidRDefault="009D5425" w:rsidP="009D5425">
      <w:pPr>
        <w:ind w:firstLine="720"/>
      </w:pPr>
      <w:r w:rsidRPr="001B5D10">
        <w:t xml:space="preserve">Пет стандарда оцењивања које је успоставила Америчка асоцијација за оцењивање су корисност, изводљивост, исправност, тачност и оцењивање </w:t>
      </w:r>
      <w:proofErr w:type="gramStart"/>
      <w:r w:rsidRPr="001B5D10">
        <w:t>одговорности  (</w:t>
      </w:r>
      <w:proofErr w:type="gramEnd"/>
      <w:r w:rsidRPr="001B5D10">
        <w:t xml:space="preserve">Табела 1-2; </w:t>
      </w:r>
      <w:r w:rsidRPr="001B5D10">
        <w:rPr>
          <w:i/>
        </w:rPr>
        <w:t>American Evaluation Association</w:t>
      </w:r>
      <w:r w:rsidRPr="001B5D10">
        <w:t xml:space="preserve">, 2011). </w:t>
      </w:r>
    </w:p>
    <w:p w:rsidR="009D5425" w:rsidRPr="001B5D10" w:rsidRDefault="009D5425" w:rsidP="009D5425"/>
    <w:tbl>
      <w:tblPr>
        <w:tblStyle w:val="LightList-Accent11"/>
        <w:tblW w:w="0" w:type="auto"/>
        <w:tblLook w:val="04A0"/>
      </w:tblPr>
      <w:tblGrid>
        <w:gridCol w:w="4643"/>
        <w:gridCol w:w="4644"/>
      </w:tblGrid>
      <w:tr w:rsidR="009D5425" w:rsidRPr="001B5D10" w:rsidTr="005F41EB">
        <w:trPr>
          <w:cnfStyle w:val="100000000000"/>
        </w:trPr>
        <w:tc>
          <w:tcPr>
            <w:cnfStyle w:val="001000000000"/>
            <w:tcW w:w="9287" w:type="dxa"/>
            <w:gridSpan w:val="2"/>
          </w:tcPr>
          <w:p w:rsidR="009D5425" w:rsidRPr="001B5D10" w:rsidRDefault="009D5425" w:rsidP="005F41EB">
            <w:r w:rsidRPr="001B5D10">
              <w:t>Табела 1-2: Стандарди евалуације које је успоставила Заједничка комисија за стандарде за образовну евалуацију</w:t>
            </w:r>
          </w:p>
        </w:tc>
      </w:tr>
      <w:tr w:rsidR="009D5425" w:rsidRPr="001B5D10" w:rsidTr="00E95660">
        <w:trPr>
          <w:cnfStyle w:val="000000100000"/>
        </w:trPr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Стандард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jc w:val="center"/>
              <w:cnfStyle w:val="000000100000"/>
              <w:rPr>
                <w:b/>
              </w:rPr>
            </w:pPr>
            <w:r w:rsidRPr="001B5D10">
              <w:rPr>
                <w:b/>
              </w:rPr>
              <w:t>Опис</w:t>
            </w:r>
          </w:p>
        </w:tc>
      </w:tr>
      <w:tr w:rsidR="009D5425" w:rsidRPr="001B5D10" w:rsidTr="00E95660"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Корисност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cnfStyle w:val="000000000000"/>
            </w:pPr>
            <w:r w:rsidRPr="001B5D10">
              <w:t>Повећати степен до којег заинтересоване стране програма налазе процесе евалуације и производе који су драгоцени у испуњавању њихових потреба.</w:t>
            </w:r>
          </w:p>
        </w:tc>
      </w:tr>
      <w:tr w:rsidR="009D5425" w:rsidRPr="001B5D10" w:rsidTr="00E95660">
        <w:trPr>
          <w:cnfStyle w:val="000000100000"/>
        </w:trPr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Изводљивост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cnfStyle w:val="000000100000"/>
            </w:pPr>
            <w:r w:rsidRPr="001B5D10">
              <w:t>Повећати ефективност и ефикасност евалуације.</w:t>
            </w:r>
          </w:p>
        </w:tc>
      </w:tr>
      <w:tr w:rsidR="009D5425" w:rsidRPr="001B5D10" w:rsidTr="00E95660"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Исправност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cnfStyle w:val="000000000000"/>
            </w:pPr>
            <w:r w:rsidRPr="001B5D10">
              <w:t>Подржати оно што је исправно, праведно, законито, поштено у евалуацијама.</w:t>
            </w:r>
          </w:p>
        </w:tc>
      </w:tr>
      <w:tr w:rsidR="009D5425" w:rsidRPr="001B5D10" w:rsidTr="00E95660">
        <w:trPr>
          <w:cnfStyle w:val="000000100000"/>
        </w:trPr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Тачност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cnfStyle w:val="000000100000"/>
            </w:pPr>
            <w:r w:rsidRPr="001B5D10">
              <w:t>Повећати поузданост и истинитост евалуације</w:t>
            </w:r>
            <w:proofErr w:type="gramStart"/>
            <w:r w:rsidRPr="001B5D10">
              <w:t>,тј</w:t>
            </w:r>
            <w:proofErr w:type="gramEnd"/>
            <w:r w:rsidRPr="001B5D10">
              <w:t xml:space="preserve">. </w:t>
            </w:r>
            <w:proofErr w:type="gramStart"/>
            <w:r w:rsidRPr="001B5D10">
              <w:t>представе</w:t>
            </w:r>
            <w:proofErr w:type="gramEnd"/>
            <w:r w:rsidRPr="001B5D10">
              <w:t xml:space="preserve">, пропозиције и закључке, посебно оних који подржавају квалитет суда интерпретације. </w:t>
            </w:r>
          </w:p>
        </w:tc>
      </w:tr>
      <w:tr w:rsidR="009D5425" w:rsidRPr="001B5D10" w:rsidTr="00E95660">
        <w:tc>
          <w:tcPr>
            <w:cnfStyle w:val="001000000000"/>
            <w:tcW w:w="4643" w:type="dxa"/>
            <w:vAlign w:val="center"/>
          </w:tcPr>
          <w:p w:rsidR="009D5425" w:rsidRPr="001B5D10" w:rsidRDefault="009D5425" w:rsidP="00E95660">
            <w:pPr>
              <w:jc w:val="center"/>
              <w:rPr>
                <w:b w:val="0"/>
              </w:rPr>
            </w:pPr>
            <w:r w:rsidRPr="001B5D10">
              <w:rPr>
                <w:b w:val="0"/>
              </w:rPr>
              <w:t>Оцењивање одговорности</w:t>
            </w:r>
          </w:p>
        </w:tc>
        <w:tc>
          <w:tcPr>
            <w:tcW w:w="4644" w:type="dxa"/>
          </w:tcPr>
          <w:p w:rsidR="009D5425" w:rsidRPr="001B5D10" w:rsidRDefault="009D5425" w:rsidP="005F41EB">
            <w:pPr>
              <w:cnfStyle w:val="000000000000"/>
            </w:pPr>
            <w:r w:rsidRPr="001B5D10">
              <w:t>Да подстакне адекватну документацију евалуација и мета-евалуациону перспективу, која је фокусирана на побољшање одговорности и продукта процеса евалуације.</w:t>
            </w:r>
          </w:p>
        </w:tc>
      </w:tr>
      <w:tr w:rsidR="009D5425" w:rsidRPr="001B5D10" w:rsidTr="005F41EB">
        <w:trPr>
          <w:cnfStyle w:val="000000100000"/>
        </w:trPr>
        <w:tc>
          <w:tcPr>
            <w:cnfStyle w:val="001000000000"/>
            <w:tcW w:w="9287" w:type="dxa"/>
            <w:gridSpan w:val="2"/>
          </w:tcPr>
          <w:p w:rsidR="009D5425" w:rsidRPr="001B5D10" w:rsidRDefault="009D5425" w:rsidP="005F41EB">
            <w:r w:rsidRPr="001B5D10">
              <w:t xml:space="preserve">Извор: Подаци од </w:t>
            </w:r>
            <w:r w:rsidRPr="001B5D10">
              <w:rPr>
                <w:i/>
              </w:rPr>
              <w:t>American Evaluation Association</w:t>
            </w:r>
            <w:r w:rsidRPr="001B5D10">
              <w:t>, 2011</w:t>
            </w:r>
          </w:p>
        </w:tc>
      </w:tr>
    </w:tbl>
    <w:p w:rsidR="009D5425" w:rsidRPr="001B5D10" w:rsidRDefault="009D5425" w:rsidP="009D5425"/>
    <w:p w:rsidR="009D5425" w:rsidRPr="001B5D10" w:rsidRDefault="009D5425" w:rsidP="009D5425">
      <w:pPr>
        <w:ind w:firstLine="720"/>
      </w:pPr>
      <w:proofErr w:type="gramStart"/>
      <w:r w:rsidRPr="001B5D10">
        <w:t>Стандард корисности наводи да евалуација мора бити корисна онима који су затражили евалуацију.</w:t>
      </w:r>
      <w:proofErr w:type="gramEnd"/>
      <w:r w:rsidRPr="001B5D10">
        <w:t xml:space="preserve"> </w:t>
      </w:r>
      <w:proofErr w:type="gramStart"/>
      <w:r w:rsidRPr="001B5D10">
        <w:t xml:space="preserve">Наведено подразумева да је евалуација корисна када приказује начине побољшавања интервенције, повећавања ефикасности програма или </w:t>
      </w:r>
      <w:r w:rsidR="00907195">
        <w:t>повећ</w:t>
      </w:r>
      <w:r w:rsidR="00907195">
        <w:rPr>
          <w:lang/>
        </w:rPr>
        <w:t>а</w:t>
      </w:r>
      <w:r w:rsidRPr="001B5D10">
        <w:t>ња могућности добијања финансијске подршке за програм, док стандард изводљивости означава да идеал не мора бити практичан.</w:t>
      </w:r>
      <w:proofErr w:type="gramEnd"/>
      <w:r w:rsidRPr="001B5D10">
        <w:t xml:space="preserve"> </w:t>
      </w:r>
      <w:proofErr w:type="gramStart"/>
      <w:r w:rsidRPr="001B5D10">
        <w:t>Евалуације које су веома сложене или скупе неће бити извршене од стране малих програма са ограниченим могућностима и ресурсима.</w:t>
      </w:r>
      <w:proofErr w:type="gramEnd"/>
      <w:r w:rsidRPr="001B5D10">
        <w:t xml:space="preserve"> </w:t>
      </w:r>
      <w:proofErr w:type="gramStart"/>
      <w:r w:rsidRPr="001B5D10">
        <w:t>Власништво је етичка и политички коректна компонента стандарда.</w:t>
      </w:r>
      <w:proofErr w:type="gramEnd"/>
      <w:r w:rsidRPr="001B5D10">
        <w:t xml:space="preserve"> </w:t>
      </w:r>
      <w:proofErr w:type="gramStart"/>
      <w:r w:rsidRPr="001B5D10">
        <w:t>Евалуације могу угрозити приватност или бити штетне за учеснике програма или особље програма.</w:t>
      </w:r>
      <w:proofErr w:type="gramEnd"/>
      <w:r w:rsidRPr="001B5D10">
        <w:t xml:space="preserve"> </w:t>
      </w:r>
      <w:proofErr w:type="gramStart"/>
      <w:r w:rsidRPr="001B5D10">
        <w:t>Стандард пристојности, такође, чини оцењиваче одговорним за поштовање свих других стандарда.</w:t>
      </w:r>
      <w:proofErr w:type="gramEnd"/>
      <w:r w:rsidRPr="001B5D10">
        <w:t xml:space="preserve"> </w:t>
      </w:r>
      <w:proofErr w:type="gramStart"/>
      <w:r w:rsidRPr="001B5D10">
        <w:t>Тачност је неопходна и остварује се кроз елементе који чине научне оквире.</w:t>
      </w:r>
      <w:proofErr w:type="gramEnd"/>
      <w:r w:rsidRPr="001B5D10">
        <w:t xml:space="preserve"> </w:t>
      </w:r>
      <w:proofErr w:type="gramStart"/>
      <w:r w:rsidRPr="001B5D10">
        <w:t xml:space="preserve">Ови успостављени и прихваћени стандарди за </w:t>
      </w:r>
      <w:r w:rsidRPr="001B5D10">
        <w:lastRenderedPageBreak/>
        <w:t>евалуацију одражавају тренутне норме и вредности које држе професионални евалуатори и заслужују пажњу у проценама здравствених програма.</w:t>
      </w:r>
      <w:proofErr w:type="gramEnd"/>
      <w:r w:rsidRPr="001B5D10">
        <w:t xml:space="preserve"> </w:t>
      </w:r>
      <w:proofErr w:type="gramStart"/>
      <w:r w:rsidRPr="001B5D10">
        <w:t>Постојање и прихватање стандарда заиста је показатељ професионалности евалуатора.</w:t>
      </w:r>
      <w:proofErr w:type="gramEnd"/>
    </w:p>
    <w:p w:rsidR="009D5425" w:rsidRPr="001B5D10" w:rsidRDefault="009D5425" w:rsidP="009D5425">
      <w:pPr>
        <w:ind w:firstLine="720"/>
      </w:pPr>
      <w:r w:rsidRPr="001B5D10">
        <w:t xml:space="preserve">Постизање ових стандарда захтева да они који су укључени у планирање и евалуацију програма имају искуства у барем једном аспекту планирања или евалуације, било да је то искуство са здравственим проблемом; искуство са епидемиолошким, социјалним или бихевиоралним истраживачким методама; или вештине у олакшавању процеса, који укључују различите саставне компоненте, способности и интересе. </w:t>
      </w:r>
      <w:proofErr w:type="gramStart"/>
      <w:r w:rsidRPr="001B5D10">
        <w:t>Планирање и евалуација програма се може обавити на безброј начина, односно, може се рећи да не постоји један “прави пут”.</w:t>
      </w:r>
      <w:proofErr w:type="gramEnd"/>
      <w:r w:rsidRPr="001B5D10">
        <w:t xml:space="preserve"> </w:t>
      </w:r>
      <w:proofErr w:type="gramStart"/>
      <w:r w:rsidRPr="001B5D10">
        <w:t>Овај степен слободе и флексибилности могу представљати неугодност за неке људе, па као и код било које вештине или активности, док се искуство не стекне, програмери и евалуатори могу се осећати застрашеним величином задатка или искуством других укључених.</w:t>
      </w:r>
      <w:proofErr w:type="gramEnd"/>
      <w:r w:rsidRPr="001B5D10">
        <w:t xml:space="preserve"> </w:t>
      </w:r>
      <w:proofErr w:type="gramStart"/>
      <w:r w:rsidRPr="001B5D10">
        <w:t>Постати професионални евалуатор, према томе, захтева степен спремности да се учи, надограђује и буде флексибилан.</w:t>
      </w:r>
      <w:proofErr w:type="gramEnd"/>
    </w:p>
    <w:p w:rsidR="009D5425" w:rsidRPr="001B5D10" w:rsidRDefault="009D5425" w:rsidP="009D5425">
      <w:pPr>
        <w:pStyle w:val="Heading3"/>
        <w:rPr>
          <w:sz w:val="20"/>
          <w:szCs w:val="20"/>
        </w:rPr>
      </w:pPr>
      <w:bookmarkStart w:id="14" w:name="_Toc535961274"/>
      <w:bookmarkStart w:id="15" w:name="_Toc4073247"/>
      <w:bookmarkStart w:id="16" w:name="_Toc7192484"/>
      <w:proofErr w:type="gramStart"/>
      <w:r w:rsidRPr="001B5D10">
        <w:rPr>
          <w:sz w:val="20"/>
          <w:szCs w:val="20"/>
        </w:rPr>
        <w:t>Ко планира и вреднује?</w:t>
      </w:r>
      <w:bookmarkEnd w:id="14"/>
      <w:bookmarkEnd w:id="15"/>
      <w:bookmarkEnd w:id="16"/>
      <w:proofErr w:type="gramEnd"/>
    </w:p>
    <w:p w:rsidR="009D5425" w:rsidRPr="001B5D10" w:rsidRDefault="009D5425" w:rsidP="005C65BB">
      <w:proofErr w:type="gramStart"/>
      <w:r w:rsidRPr="001B5D10">
        <w:t>Многе различите врсте здравствених професионалаца и друштвених научника могу бити укључене у планирање и евалуацију здравствених програма.</w:t>
      </w:r>
      <w:proofErr w:type="gramEnd"/>
      <w:r w:rsidRPr="001B5D10">
        <w:t xml:space="preserve"> </w:t>
      </w:r>
      <w:proofErr w:type="gramStart"/>
      <w:r w:rsidRPr="001B5D10">
        <w:t>На почетку програмског планирања и евалуације, нека стрепња се врти око тога ко треба да буде планер и евалуатор.</w:t>
      </w:r>
      <w:proofErr w:type="gramEnd"/>
      <w:r w:rsidRPr="001B5D10">
        <w:t xml:space="preserve"> </w:t>
      </w:r>
      <w:proofErr w:type="gramStart"/>
      <w:r w:rsidRPr="001B5D10">
        <w:t>У извесном смислу, практично, свако ко има интерес и спремност да буде активан учесник у процесу планирања или евалуације може бити укључен, укључујући здравствене стручњаке, пословне људе, парапрофесионалце и адвокате или активисте.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Планери и евалуатори могу бити запослени у организацији која ће предузети активности, или могу бити и екстерни консултанти ангажовани да помогну у свим фазама или само у одређеној фази циклуса планирања и евалуације.</w:t>
      </w:r>
      <w:proofErr w:type="gramEnd"/>
      <w:r w:rsidRPr="001B5D10">
        <w:t xml:space="preserve"> Наравно</w:t>
      </w:r>
      <w:proofErr w:type="gramStart"/>
      <w:r w:rsidRPr="001B5D10">
        <w:t>,и</w:t>
      </w:r>
      <w:proofErr w:type="gramEnd"/>
      <w:r w:rsidRPr="001B5D10">
        <w:t xml:space="preserve"> интерни и екстерни планери и евалуатори имају своје предности и недостатке, па у складу са тим без обзира на то да ли се користи интерни или екстерни евалуатор, професионалне улоге и оданост треба признати и схватити као факторе који могу утицати на доношење одлука.</w:t>
      </w:r>
    </w:p>
    <w:p w:rsidR="009D5425" w:rsidRPr="001B5D10" w:rsidRDefault="009D5425" w:rsidP="009D5425">
      <w:pPr>
        <w:ind w:firstLine="720"/>
      </w:pPr>
      <w:proofErr w:type="gramStart"/>
      <w:r w:rsidRPr="001B5D10">
        <w:t>Унутар организације планери и евалуатори су подложни предрасудама, свесно или не, у корист програма или неког аспекта програма, посебно ако њихово укључивање позитивно утиче на њихов рад.</w:t>
      </w:r>
      <w:proofErr w:type="gramEnd"/>
      <w:r w:rsidRPr="001B5D10">
        <w:t xml:space="preserve"> </w:t>
      </w:r>
      <w:proofErr w:type="gramStart"/>
      <w:r w:rsidRPr="001B5D10">
        <w:t>Са позитивне стране, интерни планери и евалуатори имају већ</w:t>
      </w:r>
      <w:r w:rsidR="00907195">
        <w:t>у вероватноћу да имају знањ</w:t>
      </w:r>
      <w:r w:rsidR="00907195">
        <w:rPr>
          <w:lang/>
        </w:rPr>
        <w:t>е</w:t>
      </w:r>
      <w:r w:rsidRPr="001B5D10">
        <w:t xml:space="preserve"> о организационим факторима</w:t>
      </w:r>
      <w:r w:rsidR="00907195">
        <w:rPr>
          <w:lang/>
        </w:rPr>
        <w:t xml:space="preserve"> унутар организације</w:t>
      </w:r>
      <w:r w:rsidRPr="001B5D10">
        <w:t>, који се могу користити или могу имати позитиван ефекат на спровођење и успех здравственог програма.</w:t>
      </w:r>
      <w:proofErr w:type="gramEnd"/>
      <w:r w:rsidRPr="001B5D10">
        <w:t xml:space="preserve"> </w:t>
      </w:r>
      <w:proofErr w:type="gramStart"/>
      <w:r w:rsidRPr="001B5D10">
        <w:t>Интерни евалуатори могу искусити подељене лојалности, као што су између програма и њиховог посла, између особља програма и другог особља, или између предложеног програма или евалуације и њиховог погледа на оно што би било боље.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Извор интерних евалуатора могу бити чланови тимова за побољшање квалитета, посебно ако су имали било какву обуку у домену развоја програма или евалуације, јер се наведени домени односе на побољшање квалитета.</w:t>
      </w:r>
      <w:proofErr w:type="gramEnd"/>
      <w:r w:rsidRPr="001B5D10">
        <w:t xml:space="preserve"> </w:t>
      </w:r>
      <w:proofErr w:type="gramStart"/>
      <w:r w:rsidRPr="001B5D10">
        <w:t>Употреба укупног управљања квалитетом (</w:t>
      </w:r>
      <w:r w:rsidRPr="001B5D10">
        <w:rPr>
          <w:i/>
        </w:rPr>
        <w:t>TQM</w:t>
      </w:r>
      <w:r w:rsidRPr="001B5D10">
        <w:t>), континуирано побољшање квалитета (</w:t>
      </w:r>
      <w:r w:rsidRPr="001B5D10">
        <w:rPr>
          <w:i/>
        </w:rPr>
        <w:t>CQI</w:t>
      </w:r>
      <w:r w:rsidRPr="001B5D10">
        <w:t>) и друге методологије за побољшање квалитета од стране здравствених организација и агенција за јавно здравство могу бити саставни део постизања програма који добро функционишу.</w:t>
      </w:r>
      <w:proofErr w:type="gramEnd"/>
      <w:r w:rsidRPr="001B5D10">
        <w:t xml:space="preserve"> </w:t>
      </w:r>
      <w:proofErr w:type="gramStart"/>
      <w:r w:rsidRPr="001B5D10">
        <w:t>Подстицај за побољшање квалитета здравствене заштите подстакнут је коришћењем стандардних мера учинка, као што је Национални савет за осигурање података и скуп података о ефикасности здравствене заштите (</w:t>
      </w:r>
      <w:r w:rsidRPr="001B5D10">
        <w:rPr>
          <w:i/>
        </w:rPr>
        <w:t>HEDIS</w:t>
      </w:r>
      <w:r w:rsidRPr="001B5D10">
        <w:t>).</w:t>
      </w:r>
      <w:proofErr w:type="gramEnd"/>
      <w:r w:rsidRPr="001B5D10">
        <w:t xml:space="preserve"> </w:t>
      </w:r>
      <w:proofErr w:type="gramStart"/>
      <w:r w:rsidRPr="001B5D10">
        <w:t xml:space="preserve">Широка употреба </w:t>
      </w:r>
      <w:r w:rsidRPr="001B5D10">
        <w:rPr>
          <w:i/>
        </w:rPr>
        <w:t>HEDIS</w:t>
      </w:r>
      <w:r w:rsidRPr="001B5D10">
        <w:t>-а није само извор података за планере и евалуаторе здравствених програма, већ, такође, представља друштвену вредност, која се односи на податке и на евалуацију услуга, као представљање адекватне конкуренције.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Екстерни евалуатори могу донети нову перспективу и начин размишљања, који генерише алтернативе које тренутно нису у репертоару агенција за приступ здравственим проблемима и евалуацији програма.</w:t>
      </w:r>
      <w:proofErr w:type="gramEnd"/>
      <w:r w:rsidRPr="001B5D10">
        <w:t xml:space="preserve"> </w:t>
      </w:r>
      <w:proofErr w:type="gramStart"/>
      <w:r w:rsidRPr="001B5D10">
        <w:t>У поређењу са интерним евалуаторима, спољни евалуатори су мање склони да буду пристрасни у корист једног приступа - осим ако, наравно, нису изабрани због своје стручности у одређеној области, што би природно у одређеној мери ограничило њихову перспективу.</w:t>
      </w:r>
      <w:proofErr w:type="gramEnd"/>
      <w:r w:rsidRPr="001B5D10">
        <w:t xml:space="preserve"> </w:t>
      </w:r>
      <w:proofErr w:type="gramStart"/>
      <w:r w:rsidRPr="001B5D10">
        <w:t>Међутим, спољни планери и евалуатори програма могу да буду скупи консултанти.</w:t>
      </w:r>
      <w:proofErr w:type="gramEnd"/>
      <w:r w:rsidRPr="001B5D10">
        <w:t xml:space="preserve"> </w:t>
      </w:r>
      <w:proofErr w:type="gramStart"/>
      <w:r w:rsidRPr="001B5D10">
        <w:t>Неке организације које се специјализују за евалуацију здравствених програма служе као једна категорија екстерног евалуатора.</w:t>
      </w:r>
      <w:proofErr w:type="gramEnd"/>
      <w:r w:rsidRPr="001B5D10">
        <w:t xml:space="preserve"> </w:t>
      </w:r>
      <w:proofErr w:type="gramStart"/>
      <w:r w:rsidRPr="001B5D10">
        <w:t xml:space="preserve">Ове непрофитне истраживачке фирме, као што су </w:t>
      </w:r>
      <w:r w:rsidRPr="001B5D10">
        <w:rPr>
          <w:i/>
        </w:rPr>
        <w:t xml:space="preserve">Mathematica </w:t>
      </w:r>
      <w:r w:rsidRPr="001B5D10">
        <w:t>и</w:t>
      </w:r>
      <w:r w:rsidRPr="001B5D10">
        <w:rPr>
          <w:i/>
        </w:rPr>
        <w:t xml:space="preserve"> the Alpha Center</w:t>
      </w:r>
      <w:r w:rsidRPr="001B5D10">
        <w:t>, добијају уговоре за процену здравствених програмских иницијатива и спровођење националних процена које захтевају софистицирану методологију и значајна средства.</w:t>
      </w:r>
      <w:proofErr w:type="gramEnd"/>
    </w:p>
    <w:p w:rsidR="009D5425" w:rsidRPr="001B5D10" w:rsidRDefault="009D5425" w:rsidP="009D5425">
      <w:pPr>
        <w:ind w:firstLine="720"/>
      </w:pPr>
      <w:proofErr w:type="gramStart"/>
      <w:r w:rsidRPr="001B5D10">
        <w:t>На питање о томе ко врши евалуацију може се одговорити и посматрањем ко финансира евалуацију здравствених програма.</w:t>
      </w:r>
      <w:proofErr w:type="gramEnd"/>
      <w:r w:rsidRPr="001B5D10">
        <w:t xml:space="preserve"> </w:t>
      </w:r>
      <w:proofErr w:type="gramStart"/>
      <w:r w:rsidRPr="001B5D10">
        <w:t xml:space="preserve">Из ове перспективе, организације које врше </w:t>
      </w:r>
      <w:r w:rsidRPr="001B5D10">
        <w:lastRenderedPageBreak/>
        <w:t>евалуацију као компоненту свог пословања је одговор на питање ко врши евалуацију.</w:t>
      </w:r>
      <w:proofErr w:type="gramEnd"/>
      <w:r w:rsidRPr="001B5D10">
        <w:t xml:space="preserve"> </w:t>
      </w:r>
      <w:proofErr w:type="gramStart"/>
      <w:r w:rsidRPr="001B5D10">
        <w:t>Иако већина агенција за финансирање преферира да финансира здравствене програме, а не самосталне евалуације програма, постоје изузеци.</w:t>
      </w:r>
      <w:proofErr w:type="gramEnd"/>
      <w:r w:rsidRPr="001B5D10">
        <w:t xml:space="preserve"> </w:t>
      </w:r>
      <w:proofErr w:type="gramStart"/>
      <w:r w:rsidRPr="001B5D10">
        <w:t>На пример, Агенција за здравствена истраживања и квалитет (</w:t>
      </w:r>
      <w:r w:rsidRPr="001B5D10">
        <w:rPr>
          <w:i/>
        </w:rPr>
        <w:t>Agency for Healthcare Research and Quality (AHRQ)</w:t>
      </w:r>
      <w:r w:rsidRPr="001B5D10">
        <w:t>) финансира истраживање здравствених услуга о квалитету медицинске неге, што у суштини утиче на евалуацијско истраживање.</w:t>
      </w:r>
      <w:proofErr w:type="gramEnd"/>
      <w:r w:rsidRPr="001B5D10">
        <w:t xml:space="preserve"> Друге федералне агенције, као што су Национални заводи за здравство (</w:t>
      </w:r>
      <w:r w:rsidRPr="001B5D10">
        <w:rPr>
          <w:i/>
        </w:rPr>
        <w:t>National Institutes of Health</w:t>
      </w:r>
      <w:r w:rsidRPr="001B5D10">
        <w:t xml:space="preserve">) и бирои у оквиру </w:t>
      </w:r>
      <w:r w:rsidRPr="001B5D10">
        <w:rPr>
          <w:i/>
        </w:rPr>
        <w:t>Department of Health and Human Services</w:t>
      </w:r>
      <w:r w:rsidRPr="001B5D10">
        <w:t xml:space="preserve">, финансирају евалуацијско истраживање пилот здравствених програма. </w:t>
      </w:r>
      <w:proofErr w:type="gramStart"/>
      <w:r w:rsidRPr="001B5D10">
        <w:t>Међутим, приоритети финансирања ових федералних агенција се мењају у складу са федералном здравственом политиком.</w:t>
      </w:r>
      <w:proofErr w:type="gramEnd"/>
      <w:r w:rsidRPr="001B5D10">
        <w:t xml:space="preserve"> </w:t>
      </w:r>
      <w:proofErr w:type="gramStart"/>
      <w:r w:rsidRPr="001B5D10">
        <w:t>Ово је управо подсетник да се финансирање организација и евалуација здравствених програма временом развијају.</w:t>
      </w:r>
      <w:proofErr w:type="gramEnd"/>
    </w:p>
    <w:p w:rsidR="009D5425" w:rsidRPr="001B5D10" w:rsidRDefault="009D5425" w:rsidP="009D5425">
      <w:pPr>
        <w:pStyle w:val="Heading3"/>
        <w:rPr>
          <w:sz w:val="20"/>
          <w:szCs w:val="20"/>
        </w:rPr>
      </w:pPr>
      <w:bookmarkStart w:id="17" w:name="_Toc535961275"/>
      <w:bookmarkStart w:id="18" w:name="_Toc4073248"/>
      <w:bookmarkStart w:id="19" w:name="_Toc7192485"/>
      <w:r w:rsidRPr="001B5D10">
        <w:rPr>
          <w:sz w:val="20"/>
          <w:szCs w:val="20"/>
        </w:rPr>
        <w:t>Улоге евалуатора</w:t>
      </w:r>
      <w:bookmarkEnd w:id="17"/>
      <w:bookmarkEnd w:id="18"/>
      <w:bookmarkEnd w:id="19"/>
    </w:p>
    <w:p w:rsidR="009D5425" w:rsidRPr="001B5D10" w:rsidRDefault="009D5425" w:rsidP="005C65BB">
      <w:proofErr w:type="gramStart"/>
      <w:r w:rsidRPr="001B5D10">
        <w:t>Од евалуатора се може захтевати да преузму различите улоге, с обзиром да су они професионалци укључени у процес који врло вероватно укључује и друге учеснике.</w:t>
      </w:r>
      <w:proofErr w:type="gramEnd"/>
      <w:r w:rsidRPr="001B5D10">
        <w:t xml:space="preserve"> </w:t>
      </w:r>
      <w:proofErr w:type="gramStart"/>
      <w:r w:rsidRPr="001B5D10">
        <w:t>На пример, како евалуација преузима социополитички процес, евалуатори постају посредници и агенти за промене, а ако је евалуација процес учења-подучавања, евалуатори постају и наставници и ученици интересних група.</w:t>
      </w:r>
      <w:proofErr w:type="gramEnd"/>
      <w:r w:rsidRPr="001B5D10">
        <w:t xml:space="preserve"> </w:t>
      </w:r>
      <w:proofErr w:type="gramStart"/>
      <w:r w:rsidRPr="001B5D10">
        <w:t>У мери у којој је евалуација процес који ствара нову реалност за заинтересоване стране, програмско особље и учеснике програма, евалуатори су ствараоци реалности.</w:t>
      </w:r>
      <w:proofErr w:type="gramEnd"/>
      <w:r w:rsidRPr="001B5D10">
        <w:t xml:space="preserve"> </w:t>
      </w:r>
      <w:proofErr w:type="gramStart"/>
      <w:r w:rsidRPr="001B5D10">
        <w:t>Понекад евалуација може имати непредвидив исход; па у таквим ситуацијама, евалуатори су људски инструменти који процењују што се догађа и анализирају догађаје.</w:t>
      </w:r>
      <w:proofErr w:type="gramEnd"/>
      <w:r w:rsidRPr="001B5D10">
        <w:t xml:space="preserve"> </w:t>
      </w:r>
      <w:proofErr w:type="gramStart"/>
      <w:r w:rsidRPr="001B5D10">
        <w:t>У идеалном случају, евалуације су процес сарадње, а евалуатори делују као сарадници са заинтересованим странама, програмским особљем и учесницима програма.</w:t>
      </w:r>
      <w:proofErr w:type="gramEnd"/>
      <w:r w:rsidRPr="001B5D10">
        <w:t xml:space="preserve"> </w:t>
      </w:r>
      <w:proofErr w:type="gramStart"/>
      <w:r w:rsidRPr="001B5D10">
        <w:t>Ако евалуација има облик студије случаја, евалуатори могу постати илустратори, историчари и приповедачи.</w:t>
      </w:r>
      <w:proofErr w:type="gramEnd"/>
    </w:p>
    <w:p w:rsidR="00153287" w:rsidRPr="00153287" w:rsidRDefault="009D5425" w:rsidP="0095136C">
      <w:pPr>
        <w:ind w:firstLine="720"/>
      </w:pPr>
      <w:proofErr w:type="gramStart"/>
      <w:r w:rsidRPr="001B5D10">
        <w:t>Ово су само неки од примера како се улоге професионалног евалуатора програма развијају и искрсну из тренутне ситуације.</w:t>
      </w:r>
      <w:proofErr w:type="gramEnd"/>
      <w:r w:rsidRPr="001B5D10">
        <w:t xml:space="preserve"> </w:t>
      </w:r>
      <w:proofErr w:type="gramStart"/>
      <w:r w:rsidRPr="001B5D10">
        <w:t>Улога појединца у активностима планирања и евалуације можда неће бити јасна у тренутку када је пројекат покренут.</w:t>
      </w:r>
      <w:proofErr w:type="gramEnd"/>
      <w:r w:rsidRPr="001B5D10">
        <w:t xml:space="preserve"> </w:t>
      </w:r>
      <w:proofErr w:type="gramStart"/>
      <w:r w:rsidRPr="001B5D10">
        <w:t>Улоге ће се развијати и напредовати како се одвијају активности планирања и евалуације.</w:t>
      </w:r>
      <w:proofErr w:type="gramEnd"/>
    </w:p>
    <w:sectPr w:rsidR="00153287" w:rsidRPr="00153287" w:rsidSect="00F121A0">
      <w:headerReference w:type="default" r:id="rId9"/>
      <w:footerReference w:type="even" r:id="rId10"/>
      <w:footerReference w:type="default" r:id="rId1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048" w:rsidRDefault="00792048">
      <w:r>
        <w:separator/>
      </w:r>
    </w:p>
  </w:endnote>
  <w:endnote w:type="continuationSeparator" w:id="0">
    <w:p w:rsidR="00792048" w:rsidRDefault="00792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F59FF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12CB" w:rsidRDefault="001E12CB">
    <w:pPr>
      <w:pStyle w:val="Footer"/>
      <w:ind w:right="360"/>
    </w:pPr>
  </w:p>
  <w:p w:rsidR="001E12CB" w:rsidRDefault="001E12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F59FF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E12C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2178">
      <w:rPr>
        <w:rStyle w:val="PageNumber"/>
        <w:noProof/>
      </w:rPr>
      <w:t>5</w:t>
    </w:r>
    <w:r>
      <w:rPr>
        <w:rStyle w:val="PageNumber"/>
      </w:rPr>
      <w:fldChar w:fldCharType="end"/>
    </w:r>
    <w:r w:rsidR="001E12CB">
      <w:rPr>
        <w:rStyle w:val="PageNumber"/>
      </w:rPr>
      <w:t>/</w:t>
    </w:r>
    <w:r>
      <w:rPr>
        <w:rStyle w:val="PageNumber"/>
      </w:rPr>
      <w:fldChar w:fldCharType="begin"/>
    </w:r>
    <w:r w:rsidR="001E12CB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F72178">
      <w:rPr>
        <w:rStyle w:val="PageNumber"/>
        <w:noProof/>
      </w:rPr>
      <w:t>9</w:t>
    </w:r>
    <w:r>
      <w:rPr>
        <w:rStyle w:val="PageNumber"/>
      </w:rPr>
      <w:fldChar w:fldCharType="end"/>
    </w:r>
  </w:p>
  <w:p w:rsidR="001E12CB" w:rsidRPr="001653E0" w:rsidRDefault="001E12CB">
    <w:pPr>
      <w:pStyle w:val="Footer"/>
      <w:ind w:right="360"/>
      <w:rPr>
        <w:sz w:val="16"/>
        <w:szCs w:val="16"/>
        <w:lang w:val="sr-Latn-CS"/>
      </w:rPr>
    </w:pPr>
    <w:r w:rsidRPr="00FC1F3E">
      <w:rPr>
        <w:noProof/>
        <w:sz w:val="16"/>
        <w:szCs w:val="16"/>
        <w:lang w:val="en-US"/>
      </w:rPr>
      <w:t xml:space="preserve">Назив </w:t>
    </w:r>
    <w:r>
      <w:rPr>
        <w:noProof/>
        <w:sz w:val="16"/>
        <w:szCs w:val="16"/>
        <w:lang w:val="sr-Cyrl-CS"/>
      </w:rPr>
      <w:t>области</w:t>
    </w:r>
    <w:r w:rsidRPr="00FC1F3E">
      <w:rPr>
        <w:noProof/>
        <w:sz w:val="16"/>
        <w:szCs w:val="16"/>
        <w:lang w:val="en-US"/>
      </w:rPr>
      <w:t>: &lt;</w:t>
    </w:r>
    <w:r w:rsidR="00EF0A3F">
      <w:rPr>
        <w:noProof/>
        <w:sz w:val="16"/>
        <w:szCs w:val="16"/>
      </w:rPr>
      <w:t>УВОДНА РАЗМАТРАЊА</w:t>
    </w:r>
    <w:r w:rsidRPr="00FC1F3E">
      <w:rPr>
        <w:noProof/>
        <w:sz w:val="16"/>
        <w:szCs w:val="16"/>
        <w:lang w:val="en-US"/>
      </w:rPr>
      <w:t>&gt;</w:t>
    </w:r>
    <w:r w:rsidRPr="001653E0">
      <w:rPr>
        <w:sz w:val="16"/>
        <w:szCs w:val="16"/>
        <w:lang w:val="sr-Latn-CS"/>
      </w:rPr>
      <w:tab/>
    </w:r>
  </w:p>
  <w:p w:rsidR="001E12CB" w:rsidRDefault="001F59FF">
    <w:r w:rsidRPr="001F59FF"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-10.55pt" to="456pt,-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048" w:rsidRDefault="00792048">
      <w:r>
        <w:separator/>
      </w:r>
    </w:p>
  </w:footnote>
  <w:footnote w:type="continuationSeparator" w:id="0">
    <w:p w:rsidR="00792048" w:rsidRDefault="00792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2CB" w:rsidRDefault="001E12CB">
    <w:pPr>
      <w:pStyle w:val="Header"/>
      <w:rPr>
        <w:lang w:val="es-ES"/>
      </w:rPr>
    </w:pPr>
  </w:p>
  <w:p w:rsidR="00F11C3D" w:rsidRDefault="001C1BB4" w:rsidP="00F11C3D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153287"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1</w:t>
    </w:r>
  </w:p>
  <w:p w:rsidR="001E12CB" w:rsidRPr="00F11C3D" w:rsidRDefault="001F59FF" w:rsidP="00F11C3D">
    <w:pPr>
      <w:pStyle w:val="Header"/>
      <w:rPr>
        <w:b/>
        <w:sz w:val="16"/>
        <w:szCs w:val="16"/>
        <w:lang w:val="sr-Cyrl-CS"/>
      </w:rPr>
    </w:pPr>
    <w:r w:rsidRPr="001F59FF"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6268"/>
    <w:multiLevelType w:val="hybridMultilevel"/>
    <w:tmpl w:val="1AAA4F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94B"/>
    <w:multiLevelType w:val="hybridMultilevel"/>
    <w:tmpl w:val="EFF678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5E55AB"/>
    <w:multiLevelType w:val="hybridMultilevel"/>
    <w:tmpl w:val="947CE9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206C6"/>
    <w:multiLevelType w:val="hybridMultilevel"/>
    <w:tmpl w:val="1F94F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676F7A"/>
    <w:multiLevelType w:val="hybridMultilevel"/>
    <w:tmpl w:val="D02260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23D1B"/>
    <w:multiLevelType w:val="hybridMultilevel"/>
    <w:tmpl w:val="DD466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351191"/>
    <w:multiLevelType w:val="hybridMultilevel"/>
    <w:tmpl w:val="567C4A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A62168"/>
    <w:multiLevelType w:val="hybridMultilevel"/>
    <w:tmpl w:val="7842E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D625D5"/>
    <w:multiLevelType w:val="hybridMultilevel"/>
    <w:tmpl w:val="2B3050E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4F18AC"/>
    <w:multiLevelType w:val="hybridMultilevel"/>
    <w:tmpl w:val="50927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2C92254"/>
    <w:multiLevelType w:val="hybridMultilevel"/>
    <w:tmpl w:val="4BA43C5E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397176"/>
    <w:multiLevelType w:val="hybridMultilevel"/>
    <w:tmpl w:val="81A294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2A218C"/>
    <w:multiLevelType w:val="hybridMultilevel"/>
    <w:tmpl w:val="7A2A272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5A67B6F"/>
    <w:multiLevelType w:val="hybridMultilevel"/>
    <w:tmpl w:val="3BA202B4"/>
    <w:lvl w:ilvl="0" w:tplc="E1DE802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>
    <w:nsid w:val="271A57E8"/>
    <w:multiLevelType w:val="hybridMultilevel"/>
    <w:tmpl w:val="5BECE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7E4C3D"/>
    <w:multiLevelType w:val="hybridMultilevel"/>
    <w:tmpl w:val="F326B1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7D65C0"/>
    <w:multiLevelType w:val="hybridMultilevel"/>
    <w:tmpl w:val="6A9EB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8C0C9E"/>
    <w:multiLevelType w:val="hybridMultilevel"/>
    <w:tmpl w:val="4C6E9B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E6870DC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3A7092"/>
    <w:multiLevelType w:val="hybridMultilevel"/>
    <w:tmpl w:val="29C4C7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6F56B5"/>
    <w:multiLevelType w:val="hybridMultilevel"/>
    <w:tmpl w:val="40521CC6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6D49EC"/>
    <w:multiLevelType w:val="hybridMultilevel"/>
    <w:tmpl w:val="36FCF30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7B2E5B"/>
    <w:multiLevelType w:val="hybridMultilevel"/>
    <w:tmpl w:val="11F08F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7E33229"/>
    <w:multiLevelType w:val="hybridMultilevel"/>
    <w:tmpl w:val="19D08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8A677FA"/>
    <w:multiLevelType w:val="hybridMultilevel"/>
    <w:tmpl w:val="29FC2E32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8FB41E4"/>
    <w:multiLevelType w:val="hybridMultilevel"/>
    <w:tmpl w:val="70803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D3110A"/>
    <w:multiLevelType w:val="hybridMultilevel"/>
    <w:tmpl w:val="C77EB7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D38570E"/>
    <w:multiLevelType w:val="hybridMultilevel"/>
    <w:tmpl w:val="F642FDE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3D8130FF"/>
    <w:multiLevelType w:val="hybridMultilevel"/>
    <w:tmpl w:val="B3A40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EA75ECC"/>
    <w:multiLevelType w:val="hybridMultilevel"/>
    <w:tmpl w:val="6B4233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18C56E0"/>
    <w:multiLevelType w:val="hybridMultilevel"/>
    <w:tmpl w:val="BF5841C4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5754A168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32E09CC"/>
    <w:multiLevelType w:val="hybridMultilevel"/>
    <w:tmpl w:val="F5AC64AA"/>
    <w:lvl w:ilvl="0" w:tplc="E1DE802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4363750A"/>
    <w:multiLevelType w:val="hybridMultilevel"/>
    <w:tmpl w:val="AC560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4787216"/>
    <w:multiLevelType w:val="hybridMultilevel"/>
    <w:tmpl w:val="22C8B6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5F620AE"/>
    <w:multiLevelType w:val="hybridMultilevel"/>
    <w:tmpl w:val="DF68165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6CB120E"/>
    <w:multiLevelType w:val="hybridMultilevel"/>
    <w:tmpl w:val="9ADA30E4"/>
    <w:lvl w:ilvl="0" w:tplc="E1DE8020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3">
    <w:nsid w:val="48176C41"/>
    <w:multiLevelType w:val="hybridMultilevel"/>
    <w:tmpl w:val="A33E1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97A1244"/>
    <w:multiLevelType w:val="hybridMultilevel"/>
    <w:tmpl w:val="E056EC62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>
    <w:nsid w:val="4EEB4FD2"/>
    <w:multiLevelType w:val="hybridMultilevel"/>
    <w:tmpl w:val="073CF5E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47">
    <w:nsid w:val="50CF699B"/>
    <w:multiLevelType w:val="hybridMultilevel"/>
    <w:tmpl w:val="6FDCD1D6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D12975"/>
    <w:multiLevelType w:val="hybridMultilevel"/>
    <w:tmpl w:val="38543D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5362DCF"/>
    <w:multiLevelType w:val="hybridMultilevel"/>
    <w:tmpl w:val="2A2C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70366CA"/>
    <w:multiLevelType w:val="hybridMultilevel"/>
    <w:tmpl w:val="539C2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7CF6A87"/>
    <w:multiLevelType w:val="hybridMultilevel"/>
    <w:tmpl w:val="29F03AC6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4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B662658"/>
    <w:multiLevelType w:val="hybridMultilevel"/>
    <w:tmpl w:val="6192A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D6A6388"/>
    <w:multiLevelType w:val="hybridMultilevel"/>
    <w:tmpl w:val="43F205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E3D278B"/>
    <w:multiLevelType w:val="hybridMultilevel"/>
    <w:tmpl w:val="887EE838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F6A2A25"/>
    <w:multiLevelType w:val="hybridMultilevel"/>
    <w:tmpl w:val="FC0E40AA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0EB532D"/>
    <w:multiLevelType w:val="hybridMultilevel"/>
    <w:tmpl w:val="4B6867FE"/>
    <w:lvl w:ilvl="0" w:tplc="040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>
    <w:nsid w:val="62C603D7"/>
    <w:multiLevelType w:val="hybridMultilevel"/>
    <w:tmpl w:val="141614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8AA5A8C"/>
    <w:multiLevelType w:val="hybridMultilevel"/>
    <w:tmpl w:val="EE0CC08A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D1305ED"/>
    <w:multiLevelType w:val="hybridMultilevel"/>
    <w:tmpl w:val="736C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8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5"/>
  </w:num>
  <w:num w:numId="3">
    <w:abstractNumId w:val="23"/>
  </w:num>
  <w:num w:numId="4">
    <w:abstractNumId w:val="3"/>
  </w:num>
  <w:num w:numId="5">
    <w:abstractNumId w:val="9"/>
  </w:num>
  <w:num w:numId="6">
    <w:abstractNumId w:val="59"/>
  </w:num>
  <w:num w:numId="7">
    <w:abstractNumId w:val="18"/>
  </w:num>
  <w:num w:numId="8">
    <w:abstractNumId w:val="34"/>
  </w:num>
  <w:num w:numId="9">
    <w:abstractNumId w:val="6"/>
  </w:num>
  <w:num w:numId="10">
    <w:abstractNumId w:val="44"/>
  </w:num>
  <w:num w:numId="11">
    <w:abstractNumId w:val="53"/>
  </w:num>
  <w:num w:numId="12">
    <w:abstractNumId w:val="67"/>
  </w:num>
  <w:num w:numId="13">
    <w:abstractNumId w:val="39"/>
  </w:num>
  <w:num w:numId="14">
    <w:abstractNumId w:val="55"/>
  </w:num>
  <w:num w:numId="15">
    <w:abstractNumId w:val="4"/>
  </w:num>
  <w:num w:numId="16">
    <w:abstractNumId w:val="17"/>
  </w:num>
  <w:num w:numId="17">
    <w:abstractNumId w:val="66"/>
  </w:num>
  <w:num w:numId="18">
    <w:abstractNumId w:val="11"/>
  </w:num>
  <w:num w:numId="19">
    <w:abstractNumId w:val="24"/>
  </w:num>
  <w:num w:numId="20">
    <w:abstractNumId w:val="22"/>
  </w:num>
  <w:num w:numId="21">
    <w:abstractNumId w:val="29"/>
  </w:num>
  <w:num w:numId="22">
    <w:abstractNumId w:val="12"/>
  </w:num>
  <w:num w:numId="23">
    <w:abstractNumId w:val="14"/>
  </w:num>
  <w:num w:numId="24">
    <w:abstractNumId w:val="36"/>
  </w:num>
  <w:num w:numId="25">
    <w:abstractNumId w:val="15"/>
  </w:num>
  <w:num w:numId="26">
    <w:abstractNumId w:val="51"/>
  </w:num>
  <w:num w:numId="27">
    <w:abstractNumId w:val="43"/>
  </w:num>
  <w:num w:numId="28">
    <w:abstractNumId w:val="7"/>
  </w:num>
  <w:num w:numId="29">
    <w:abstractNumId w:val="52"/>
  </w:num>
  <w:num w:numId="30">
    <w:abstractNumId w:val="20"/>
  </w:num>
  <w:num w:numId="31">
    <w:abstractNumId w:val="35"/>
  </w:num>
  <w:num w:numId="32">
    <w:abstractNumId w:val="68"/>
  </w:num>
  <w:num w:numId="33">
    <w:abstractNumId w:val="64"/>
  </w:num>
  <w:num w:numId="34">
    <w:abstractNumId w:val="49"/>
  </w:num>
  <w:num w:numId="35">
    <w:abstractNumId w:val="38"/>
  </w:num>
  <w:num w:numId="36">
    <w:abstractNumId w:val="19"/>
  </w:num>
  <w:num w:numId="37">
    <w:abstractNumId w:val="42"/>
  </w:num>
  <w:num w:numId="38">
    <w:abstractNumId w:val="41"/>
  </w:num>
  <w:num w:numId="39">
    <w:abstractNumId w:val="46"/>
  </w:num>
  <w:num w:numId="40">
    <w:abstractNumId w:val="27"/>
  </w:num>
  <w:num w:numId="41">
    <w:abstractNumId w:val="30"/>
  </w:num>
  <w:num w:numId="42">
    <w:abstractNumId w:val="58"/>
  </w:num>
  <w:num w:numId="43">
    <w:abstractNumId w:val="16"/>
  </w:num>
  <w:num w:numId="44">
    <w:abstractNumId w:val="37"/>
  </w:num>
  <w:num w:numId="45">
    <w:abstractNumId w:val="57"/>
  </w:num>
  <w:num w:numId="46">
    <w:abstractNumId w:val="47"/>
  </w:num>
  <w:num w:numId="47">
    <w:abstractNumId w:val="31"/>
  </w:num>
  <w:num w:numId="48">
    <w:abstractNumId w:val="54"/>
  </w:num>
  <w:num w:numId="49">
    <w:abstractNumId w:val="26"/>
  </w:num>
  <w:num w:numId="50">
    <w:abstractNumId w:val="1"/>
  </w:num>
  <w:num w:numId="51">
    <w:abstractNumId w:val="13"/>
  </w:num>
  <w:num w:numId="52">
    <w:abstractNumId w:val="8"/>
  </w:num>
  <w:num w:numId="53">
    <w:abstractNumId w:val="60"/>
  </w:num>
  <w:num w:numId="54">
    <w:abstractNumId w:val="5"/>
  </w:num>
  <w:num w:numId="55">
    <w:abstractNumId w:val="2"/>
  </w:num>
  <w:num w:numId="56">
    <w:abstractNumId w:val="62"/>
  </w:num>
  <w:num w:numId="57">
    <w:abstractNumId w:val="21"/>
  </w:num>
  <w:num w:numId="58">
    <w:abstractNumId w:val="56"/>
  </w:num>
  <w:num w:numId="59">
    <w:abstractNumId w:val="65"/>
  </w:num>
  <w:num w:numId="60">
    <w:abstractNumId w:val="28"/>
  </w:num>
  <w:num w:numId="61">
    <w:abstractNumId w:val="0"/>
  </w:num>
  <w:num w:numId="62">
    <w:abstractNumId w:val="10"/>
  </w:num>
  <w:num w:numId="63">
    <w:abstractNumId w:val="63"/>
  </w:num>
  <w:num w:numId="64">
    <w:abstractNumId w:val="61"/>
  </w:num>
  <w:num w:numId="65">
    <w:abstractNumId w:val="48"/>
  </w:num>
  <w:num w:numId="66">
    <w:abstractNumId w:val="32"/>
  </w:num>
  <w:num w:numId="67">
    <w:abstractNumId w:val="33"/>
  </w:num>
  <w:num w:numId="68">
    <w:abstractNumId w:val="40"/>
  </w:num>
  <w:num w:numId="69">
    <w:abstractNumId w:val="25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8F5"/>
    <w:rsid w:val="0000190C"/>
    <w:rsid w:val="0000412B"/>
    <w:rsid w:val="00005CD4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2255"/>
    <w:rsid w:val="00042A51"/>
    <w:rsid w:val="000453B5"/>
    <w:rsid w:val="00045A7F"/>
    <w:rsid w:val="0004641B"/>
    <w:rsid w:val="0005080C"/>
    <w:rsid w:val="00051423"/>
    <w:rsid w:val="00053C29"/>
    <w:rsid w:val="000628C0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6D6"/>
    <w:rsid w:val="0007685B"/>
    <w:rsid w:val="00080356"/>
    <w:rsid w:val="00080681"/>
    <w:rsid w:val="00080B47"/>
    <w:rsid w:val="00080E2A"/>
    <w:rsid w:val="00081B07"/>
    <w:rsid w:val="00081E62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7A57"/>
    <w:rsid w:val="000A7D6F"/>
    <w:rsid w:val="000B08E6"/>
    <w:rsid w:val="000B51F6"/>
    <w:rsid w:val="000B6BB8"/>
    <w:rsid w:val="000C010E"/>
    <w:rsid w:val="000C2279"/>
    <w:rsid w:val="000C4724"/>
    <w:rsid w:val="000C5212"/>
    <w:rsid w:val="000C6784"/>
    <w:rsid w:val="000D0471"/>
    <w:rsid w:val="000D0489"/>
    <w:rsid w:val="000D378D"/>
    <w:rsid w:val="000D4519"/>
    <w:rsid w:val="000D5B04"/>
    <w:rsid w:val="000D5DDA"/>
    <w:rsid w:val="000D6B21"/>
    <w:rsid w:val="000E2139"/>
    <w:rsid w:val="000E591C"/>
    <w:rsid w:val="000E6FF3"/>
    <w:rsid w:val="000F1316"/>
    <w:rsid w:val="000F136E"/>
    <w:rsid w:val="000F1BED"/>
    <w:rsid w:val="000F2BE5"/>
    <w:rsid w:val="000F4AFB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11BBD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C1F"/>
    <w:rsid w:val="00180C4F"/>
    <w:rsid w:val="00182981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3EFB"/>
    <w:rsid w:val="001B5DEC"/>
    <w:rsid w:val="001B60D8"/>
    <w:rsid w:val="001B76B0"/>
    <w:rsid w:val="001C07F1"/>
    <w:rsid w:val="001C1BB4"/>
    <w:rsid w:val="001C20F2"/>
    <w:rsid w:val="001C79E8"/>
    <w:rsid w:val="001D1C1F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9FF"/>
    <w:rsid w:val="001F5F0A"/>
    <w:rsid w:val="0020027C"/>
    <w:rsid w:val="00200895"/>
    <w:rsid w:val="00201014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6F8E"/>
    <w:rsid w:val="002274AD"/>
    <w:rsid w:val="00230277"/>
    <w:rsid w:val="0023150C"/>
    <w:rsid w:val="00231A0F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506A9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3E14"/>
    <w:rsid w:val="002B5682"/>
    <w:rsid w:val="002B6A0B"/>
    <w:rsid w:val="002B796D"/>
    <w:rsid w:val="002C061E"/>
    <w:rsid w:val="002C2BA3"/>
    <w:rsid w:val="002C447E"/>
    <w:rsid w:val="002C5E09"/>
    <w:rsid w:val="002C6BA1"/>
    <w:rsid w:val="002D076A"/>
    <w:rsid w:val="002D0F4E"/>
    <w:rsid w:val="002D297A"/>
    <w:rsid w:val="002D2C44"/>
    <w:rsid w:val="002D3376"/>
    <w:rsid w:val="002D3A95"/>
    <w:rsid w:val="002D66C2"/>
    <w:rsid w:val="002D699B"/>
    <w:rsid w:val="002D70AE"/>
    <w:rsid w:val="002E16C1"/>
    <w:rsid w:val="002E1C0A"/>
    <w:rsid w:val="002E3DB8"/>
    <w:rsid w:val="002E5FE8"/>
    <w:rsid w:val="002E723D"/>
    <w:rsid w:val="002F0665"/>
    <w:rsid w:val="002F18A5"/>
    <w:rsid w:val="002F25EF"/>
    <w:rsid w:val="002F3248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0E02"/>
    <w:rsid w:val="003111AC"/>
    <w:rsid w:val="0031509B"/>
    <w:rsid w:val="003161E2"/>
    <w:rsid w:val="003214D1"/>
    <w:rsid w:val="00323A29"/>
    <w:rsid w:val="003252A6"/>
    <w:rsid w:val="00325C12"/>
    <w:rsid w:val="00327CF8"/>
    <w:rsid w:val="0033085A"/>
    <w:rsid w:val="00330B57"/>
    <w:rsid w:val="00331833"/>
    <w:rsid w:val="00331B00"/>
    <w:rsid w:val="003328CC"/>
    <w:rsid w:val="003338E9"/>
    <w:rsid w:val="00333B0F"/>
    <w:rsid w:val="00334702"/>
    <w:rsid w:val="00334739"/>
    <w:rsid w:val="00334B72"/>
    <w:rsid w:val="00337195"/>
    <w:rsid w:val="00340CE4"/>
    <w:rsid w:val="00343223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179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9CC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2E4A"/>
    <w:rsid w:val="00413A42"/>
    <w:rsid w:val="00414B62"/>
    <w:rsid w:val="00416F8E"/>
    <w:rsid w:val="00421EC9"/>
    <w:rsid w:val="00421F42"/>
    <w:rsid w:val="00422C67"/>
    <w:rsid w:val="00422E35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6EA1"/>
    <w:rsid w:val="004805BE"/>
    <w:rsid w:val="0048173D"/>
    <w:rsid w:val="00481785"/>
    <w:rsid w:val="00483A34"/>
    <w:rsid w:val="0048484F"/>
    <w:rsid w:val="0048571E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4015"/>
    <w:rsid w:val="004A4645"/>
    <w:rsid w:val="004A4A5F"/>
    <w:rsid w:val="004A4AAC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B08"/>
    <w:rsid w:val="004D57DD"/>
    <w:rsid w:val="004D6E60"/>
    <w:rsid w:val="004D77BB"/>
    <w:rsid w:val="004D79AC"/>
    <w:rsid w:val="004E6214"/>
    <w:rsid w:val="004E7765"/>
    <w:rsid w:val="004F04E2"/>
    <w:rsid w:val="004F0511"/>
    <w:rsid w:val="004F0C94"/>
    <w:rsid w:val="004F2684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318D"/>
    <w:rsid w:val="0053553C"/>
    <w:rsid w:val="00536459"/>
    <w:rsid w:val="0054199F"/>
    <w:rsid w:val="00544A9A"/>
    <w:rsid w:val="005462B9"/>
    <w:rsid w:val="00547D6C"/>
    <w:rsid w:val="005522D0"/>
    <w:rsid w:val="005524AD"/>
    <w:rsid w:val="0055371E"/>
    <w:rsid w:val="00553A60"/>
    <w:rsid w:val="00554F97"/>
    <w:rsid w:val="005632AA"/>
    <w:rsid w:val="00564856"/>
    <w:rsid w:val="0056630F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C4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E03"/>
    <w:rsid w:val="005A48A7"/>
    <w:rsid w:val="005A58BE"/>
    <w:rsid w:val="005A65C4"/>
    <w:rsid w:val="005B19D9"/>
    <w:rsid w:val="005B3CE5"/>
    <w:rsid w:val="005B41EA"/>
    <w:rsid w:val="005B64C4"/>
    <w:rsid w:val="005B6827"/>
    <w:rsid w:val="005B6F3D"/>
    <w:rsid w:val="005B7686"/>
    <w:rsid w:val="005C0106"/>
    <w:rsid w:val="005C1ECA"/>
    <w:rsid w:val="005C3D1C"/>
    <w:rsid w:val="005C5E7C"/>
    <w:rsid w:val="005C65BB"/>
    <w:rsid w:val="005D0C1D"/>
    <w:rsid w:val="005D2379"/>
    <w:rsid w:val="005D24F3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4AA5"/>
    <w:rsid w:val="005E5988"/>
    <w:rsid w:val="005E63A2"/>
    <w:rsid w:val="005F0196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F42"/>
    <w:rsid w:val="00612E87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3062"/>
    <w:rsid w:val="006232D6"/>
    <w:rsid w:val="00627D7A"/>
    <w:rsid w:val="006304F0"/>
    <w:rsid w:val="0063244E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AA7"/>
    <w:rsid w:val="0064305A"/>
    <w:rsid w:val="006449B3"/>
    <w:rsid w:val="006508FF"/>
    <w:rsid w:val="00652E6E"/>
    <w:rsid w:val="00654F73"/>
    <w:rsid w:val="006565AB"/>
    <w:rsid w:val="0066192B"/>
    <w:rsid w:val="00661D32"/>
    <w:rsid w:val="006642D1"/>
    <w:rsid w:val="00664407"/>
    <w:rsid w:val="0066515C"/>
    <w:rsid w:val="0066523F"/>
    <w:rsid w:val="00665246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B3BA8"/>
    <w:rsid w:val="006B4C5C"/>
    <w:rsid w:val="006B510B"/>
    <w:rsid w:val="006B5163"/>
    <w:rsid w:val="006C1378"/>
    <w:rsid w:val="006C1522"/>
    <w:rsid w:val="006C188A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1736"/>
    <w:rsid w:val="006F1807"/>
    <w:rsid w:val="006F1A99"/>
    <w:rsid w:val="006F2E56"/>
    <w:rsid w:val="006F31CF"/>
    <w:rsid w:val="006F3725"/>
    <w:rsid w:val="006F4E1D"/>
    <w:rsid w:val="006F7D51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440D"/>
    <w:rsid w:val="00775395"/>
    <w:rsid w:val="00776471"/>
    <w:rsid w:val="00777B6F"/>
    <w:rsid w:val="0078052A"/>
    <w:rsid w:val="0078334D"/>
    <w:rsid w:val="00784217"/>
    <w:rsid w:val="00784288"/>
    <w:rsid w:val="00784CAC"/>
    <w:rsid w:val="00785091"/>
    <w:rsid w:val="00785479"/>
    <w:rsid w:val="007863B1"/>
    <w:rsid w:val="00786C02"/>
    <w:rsid w:val="00790144"/>
    <w:rsid w:val="0079106E"/>
    <w:rsid w:val="00792048"/>
    <w:rsid w:val="0079446C"/>
    <w:rsid w:val="007957DF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801667"/>
    <w:rsid w:val="00803349"/>
    <w:rsid w:val="00804866"/>
    <w:rsid w:val="00805417"/>
    <w:rsid w:val="008057D1"/>
    <w:rsid w:val="008063F9"/>
    <w:rsid w:val="00806FBC"/>
    <w:rsid w:val="0080739D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F61"/>
    <w:rsid w:val="008437F0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E13"/>
    <w:rsid w:val="008A1281"/>
    <w:rsid w:val="008A2B42"/>
    <w:rsid w:val="008A2E39"/>
    <w:rsid w:val="008A34E2"/>
    <w:rsid w:val="008A6086"/>
    <w:rsid w:val="008A684D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D2581"/>
    <w:rsid w:val="008D3D24"/>
    <w:rsid w:val="008D50C6"/>
    <w:rsid w:val="008D52D8"/>
    <w:rsid w:val="008D6AB7"/>
    <w:rsid w:val="008D6B6C"/>
    <w:rsid w:val="008E28E5"/>
    <w:rsid w:val="008E30BD"/>
    <w:rsid w:val="008E3C8C"/>
    <w:rsid w:val="008E6B01"/>
    <w:rsid w:val="008E6C81"/>
    <w:rsid w:val="008E7A2A"/>
    <w:rsid w:val="008F1B7B"/>
    <w:rsid w:val="008F3281"/>
    <w:rsid w:val="008F3FBB"/>
    <w:rsid w:val="008F572B"/>
    <w:rsid w:val="008F6543"/>
    <w:rsid w:val="00902967"/>
    <w:rsid w:val="00902EA2"/>
    <w:rsid w:val="00903541"/>
    <w:rsid w:val="00906D13"/>
    <w:rsid w:val="00907195"/>
    <w:rsid w:val="00911EB7"/>
    <w:rsid w:val="0091590C"/>
    <w:rsid w:val="00915C7D"/>
    <w:rsid w:val="009217EB"/>
    <w:rsid w:val="00921846"/>
    <w:rsid w:val="009224C2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BF4"/>
    <w:rsid w:val="0095136C"/>
    <w:rsid w:val="00951ACF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4F6"/>
    <w:rsid w:val="00980F1F"/>
    <w:rsid w:val="0098125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2552"/>
    <w:rsid w:val="009B2F53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425"/>
    <w:rsid w:val="009D5CA4"/>
    <w:rsid w:val="009D620C"/>
    <w:rsid w:val="009D78A9"/>
    <w:rsid w:val="009E011D"/>
    <w:rsid w:val="009E0774"/>
    <w:rsid w:val="009E0901"/>
    <w:rsid w:val="009E5768"/>
    <w:rsid w:val="009F0A6B"/>
    <w:rsid w:val="009F5106"/>
    <w:rsid w:val="009F5A75"/>
    <w:rsid w:val="009F60DC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AA4"/>
    <w:rsid w:val="00A13CC8"/>
    <w:rsid w:val="00A15EFD"/>
    <w:rsid w:val="00A161F6"/>
    <w:rsid w:val="00A16343"/>
    <w:rsid w:val="00A1648D"/>
    <w:rsid w:val="00A16767"/>
    <w:rsid w:val="00A2428B"/>
    <w:rsid w:val="00A245D8"/>
    <w:rsid w:val="00A253A7"/>
    <w:rsid w:val="00A27771"/>
    <w:rsid w:val="00A30CF6"/>
    <w:rsid w:val="00A329C9"/>
    <w:rsid w:val="00A34BA4"/>
    <w:rsid w:val="00A35815"/>
    <w:rsid w:val="00A35ABF"/>
    <w:rsid w:val="00A42701"/>
    <w:rsid w:val="00A42997"/>
    <w:rsid w:val="00A43259"/>
    <w:rsid w:val="00A433BC"/>
    <w:rsid w:val="00A43741"/>
    <w:rsid w:val="00A43B52"/>
    <w:rsid w:val="00A441DF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47D"/>
    <w:rsid w:val="00A609FC"/>
    <w:rsid w:val="00A62C87"/>
    <w:rsid w:val="00A652C0"/>
    <w:rsid w:val="00A71007"/>
    <w:rsid w:val="00A7201A"/>
    <w:rsid w:val="00A72DE6"/>
    <w:rsid w:val="00A73836"/>
    <w:rsid w:val="00A738E9"/>
    <w:rsid w:val="00A7432B"/>
    <w:rsid w:val="00A74AC4"/>
    <w:rsid w:val="00A75FD9"/>
    <w:rsid w:val="00A7631C"/>
    <w:rsid w:val="00A77F0D"/>
    <w:rsid w:val="00A80302"/>
    <w:rsid w:val="00A83E42"/>
    <w:rsid w:val="00A84004"/>
    <w:rsid w:val="00A84221"/>
    <w:rsid w:val="00A85EE1"/>
    <w:rsid w:val="00A91196"/>
    <w:rsid w:val="00A9169D"/>
    <w:rsid w:val="00A94BA9"/>
    <w:rsid w:val="00AA15CF"/>
    <w:rsid w:val="00AA1686"/>
    <w:rsid w:val="00AA224D"/>
    <w:rsid w:val="00AA40F8"/>
    <w:rsid w:val="00AA5DE4"/>
    <w:rsid w:val="00AA628A"/>
    <w:rsid w:val="00AA7A68"/>
    <w:rsid w:val="00AB064F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5A48"/>
    <w:rsid w:val="00AE6600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7406"/>
    <w:rsid w:val="00B1028A"/>
    <w:rsid w:val="00B11C23"/>
    <w:rsid w:val="00B12CD5"/>
    <w:rsid w:val="00B133E5"/>
    <w:rsid w:val="00B14625"/>
    <w:rsid w:val="00B15329"/>
    <w:rsid w:val="00B17378"/>
    <w:rsid w:val="00B17AEA"/>
    <w:rsid w:val="00B202B4"/>
    <w:rsid w:val="00B223FB"/>
    <w:rsid w:val="00B22792"/>
    <w:rsid w:val="00B23D0E"/>
    <w:rsid w:val="00B24497"/>
    <w:rsid w:val="00B25207"/>
    <w:rsid w:val="00B2732C"/>
    <w:rsid w:val="00B306C4"/>
    <w:rsid w:val="00B32F3A"/>
    <w:rsid w:val="00B33B02"/>
    <w:rsid w:val="00B33BE7"/>
    <w:rsid w:val="00B33C14"/>
    <w:rsid w:val="00B3450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4E95"/>
    <w:rsid w:val="00B55BD9"/>
    <w:rsid w:val="00B55E89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3111"/>
    <w:rsid w:val="00C251A1"/>
    <w:rsid w:val="00C25467"/>
    <w:rsid w:val="00C26357"/>
    <w:rsid w:val="00C3766F"/>
    <w:rsid w:val="00C379B6"/>
    <w:rsid w:val="00C411BD"/>
    <w:rsid w:val="00C412A2"/>
    <w:rsid w:val="00C41847"/>
    <w:rsid w:val="00C41A09"/>
    <w:rsid w:val="00C42787"/>
    <w:rsid w:val="00C4286D"/>
    <w:rsid w:val="00C42F25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3E52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22F2"/>
    <w:rsid w:val="00CB29B1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E5B80"/>
    <w:rsid w:val="00CE616A"/>
    <w:rsid w:val="00CF0689"/>
    <w:rsid w:val="00CF2D93"/>
    <w:rsid w:val="00CF348A"/>
    <w:rsid w:val="00CF4360"/>
    <w:rsid w:val="00CF54E0"/>
    <w:rsid w:val="00D000D9"/>
    <w:rsid w:val="00D01216"/>
    <w:rsid w:val="00D0153E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908"/>
    <w:rsid w:val="00D45799"/>
    <w:rsid w:val="00D46B04"/>
    <w:rsid w:val="00D518A4"/>
    <w:rsid w:val="00D52B08"/>
    <w:rsid w:val="00D53111"/>
    <w:rsid w:val="00D55050"/>
    <w:rsid w:val="00D6226A"/>
    <w:rsid w:val="00D64993"/>
    <w:rsid w:val="00D650D1"/>
    <w:rsid w:val="00D652AA"/>
    <w:rsid w:val="00D67319"/>
    <w:rsid w:val="00D676CC"/>
    <w:rsid w:val="00D72497"/>
    <w:rsid w:val="00D73BC7"/>
    <w:rsid w:val="00D73FF5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E78"/>
    <w:rsid w:val="00DA387C"/>
    <w:rsid w:val="00DA4F57"/>
    <w:rsid w:val="00DA5281"/>
    <w:rsid w:val="00DA5952"/>
    <w:rsid w:val="00DA720F"/>
    <w:rsid w:val="00DA7BAD"/>
    <w:rsid w:val="00DB02CD"/>
    <w:rsid w:val="00DB0658"/>
    <w:rsid w:val="00DB0AC2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4DA"/>
    <w:rsid w:val="00DF169A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40C01"/>
    <w:rsid w:val="00E41517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56CB"/>
    <w:rsid w:val="00E764F5"/>
    <w:rsid w:val="00E80AA7"/>
    <w:rsid w:val="00E829F2"/>
    <w:rsid w:val="00E84533"/>
    <w:rsid w:val="00E84B4C"/>
    <w:rsid w:val="00E87B5F"/>
    <w:rsid w:val="00E901B2"/>
    <w:rsid w:val="00E90306"/>
    <w:rsid w:val="00E909C1"/>
    <w:rsid w:val="00E91892"/>
    <w:rsid w:val="00E93A4C"/>
    <w:rsid w:val="00E95660"/>
    <w:rsid w:val="00E9689F"/>
    <w:rsid w:val="00E96F2A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B43"/>
    <w:rsid w:val="00EE1329"/>
    <w:rsid w:val="00EE1416"/>
    <w:rsid w:val="00EE177F"/>
    <w:rsid w:val="00EE2C8E"/>
    <w:rsid w:val="00EE2DFE"/>
    <w:rsid w:val="00EE4A0A"/>
    <w:rsid w:val="00EE67B8"/>
    <w:rsid w:val="00EE6D43"/>
    <w:rsid w:val="00EE7F77"/>
    <w:rsid w:val="00EF0007"/>
    <w:rsid w:val="00EF0A3F"/>
    <w:rsid w:val="00EF48AA"/>
    <w:rsid w:val="00EF595F"/>
    <w:rsid w:val="00EF5B52"/>
    <w:rsid w:val="00F0524C"/>
    <w:rsid w:val="00F052D7"/>
    <w:rsid w:val="00F0592C"/>
    <w:rsid w:val="00F05C36"/>
    <w:rsid w:val="00F068A9"/>
    <w:rsid w:val="00F10A51"/>
    <w:rsid w:val="00F11C3D"/>
    <w:rsid w:val="00F11D6A"/>
    <w:rsid w:val="00F121A0"/>
    <w:rsid w:val="00F13B5F"/>
    <w:rsid w:val="00F15B4F"/>
    <w:rsid w:val="00F162A3"/>
    <w:rsid w:val="00F1705F"/>
    <w:rsid w:val="00F20A53"/>
    <w:rsid w:val="00F20B9B"/>
    <w:rsid w:val="00F21A63"/>
    <w:rsid w:val="00F22F6A"/>
    <w:rsid w:val="00F2446A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B47"/>
    <w:rsid w:val="00F50049"/>
    <w:rsid w:val="00F514BF"/>
    <w:rsid w:val="00F515A8"/>
    <w:rsid w:val="00F52999"/>
    <w:rsid w:val="00F52F2B"/>
    <w:rsid w:val="00F5395D"/>
    <w:rsid w:val="00F539E0"/>
    <w:rsid w:val="00F5454C"/>
    <w:rsid w:val="00F557ED"/>
    <w:rsid w:val="00F57034"/>
    <w:rsid w:val="00F60389"/>
    <w:rsid w:val="00F611B0"/>
    <w:rsid w:val="00F61D25"/>
    <w:rsid w:val="00F620D0"/>
    <w:rsid w:val="00F630B9"/>
    <w:rsid w:val="00F63A2E"/>
    <w:rsid w:val="00F65CE6"/>
    <w:rsid w:val="00F667E8"/>
    <w:rsid w:val="00F70F87"/>
    <w:rsid w:val="00F71682"/>
    <w:rsid w:val="00F72178"/>
    <w:rsid w:val="00F73D92"/>
    <w:rsid w:val="00F742D8"/>
    <w:rsid w:val="00F75B66"/>
    <w:rsid w:val="00F76921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5865"/>
    <w:rsid w:val="00FB58B5"/>
    <w:rsid w:val="00FB6755"/>
    <w:rsid w:val="00FB6B0F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7C6C"/>
    <w:rsid w:val="00FF0F82"/>
    <w:rsid w:val="00FF2CA2"/>
    <w:rsid w:val="00FF4035"/>
    <w:rsid w:val="00FF4D0F"/>
    <w:rsid w:val="00FF55DB"/>
    <w:rsid w:val="00FF6984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C3D"/>
    <w:rPr>
      <w:rFonts w:ascii="Arial" w:hAnsi="Arial"/>
      <w:color w:val="000000"/>
      <w:lang w:val="en-GB"/>
    </w:rPr>
  </w:style>
  <w:style w:type="paragraph" w:styleId="Heading1">
    <w:name w:val="heading 1"/>
    <w:aliases w:val="НАСЛОВ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ПОДНАСЛОВ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НАСЛОВ 1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СЛОВ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aliases w:val="ПОДНАСЛОВ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НАСЛОВ 1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9D5425"/>
    <w:pPr>
      <w:jc w:val="left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E277C-0F57-42F9-AD28-8CEADE52B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442</TotalTime>
  <Pages>9</Pages>
  <Words>4397</Words>
  <Characters>25066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3</cp:revision>
  <cp:lastPrinted>2018-11-04T14:47:00Z</cp:lastPrinted>
  <dcterms:created xsi:type="dcterms:W3CDTF">2019-05-13T12:23:00Z</dcterms:created>
  <dcterms:modified xsi:type="dcterms:W3CDTF">2019-05-13T19:44:00Z</dcterms:modified>
</cp:coreProperties>
</file>